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457F73" w:rsidRDefault="000470C5" w:rsidP="005A4F39">
      <w:pPr>
        <w:pStyle w:val="Header"/>
        <w:tabs>
          <w:tab w:val="right" w:pos="9072"/>
        </w:tabs>
        <w:rPr>
          <w:rFonts w:ascii="Arial" w:hAnsi="Arial" w:cs="Arial"/>
          <w:sz w:val="24"/>
          <w:szCs w:val="28"/>
          <w:lang w:val="en-CA"/>
        </w:rPr>
      </w:pPr>
      <w:r w:rsidRPr="00457F73">
        <w:rPr>
          <w:rFonts w:ascii="Arial" w:hAnsi="Arial" w:cs="Arial"/>
          <w:sz w:val="24"/>
          <w:szCs w:val="28"/>
          <w:lang w:val="en-CA"/>
        </w:rPr>
        <w:t>3GPP TSG RAN WG4 Meeting #82</w:t>
      </w:r>
      <w:r w:rsidR="00556628">
        <w:rPr>
          <w:rFonts w:ascii="Arial" w:hAnsi="Arial" w:cs="Arial"/>
          <w:sz w:val="24"/>
          <w:szCs w:val="28"/>
          <w:lang w:val="en-CA"/>
        </w:rPr>
        <w:t>bis</w:t>
      </w:r>
      <w:r w:rsidR="00D80957" w:rsidRPr="00457F73">
        <w:rPr>
          <w:rFonts w:ascii="Arial" w:hAnsi="Arial" w:cs="Arial"/>
          <w:sz w:val="24"/>
          <w:szCs w:val="28"/>
          <w:lang w:val="en-CA"/>
        </w:rPr>
        <w:tab/>
      </w:r>
      <w:r w:rsidR="004C4B5E">
        <w:rPr>
          <w:rFonts w:ascii="Arial" w:hAnsi="Arial" w:cs="Arial"/>
          <w:sz w:val="24"/>
          <w:szCs w:val="28"/>
          <w:lang w:val="en-CA"/>
        </w:rPr>
        <w:t>R4-1703404</w:t>
      </w:r>
    </w:p>
    <w:p w:rsidR="00D80957" w:rsidRPr="00457F73" w:rsidRDefault="00CB0690" w:rsidP="005A4F39">
      <w:pPr>
        <w:pStyle w:val="Header"/>
        <w:tabs>
          <w:tab w:val="right" w:pos="9072"/>
        </w:tabs>
        <w:rPr>
          <w:rFonts w:ascii="Arial" w:hAnsi="Arial" w:cs="Arial"/>
          <w:sz w:val="24"/>
          <w:szCs w:val="28"/>
          <w:lang w:val="en-CA"/>
        </w:rPr>
      </w:pPr>
      <w:r>
        <w:rPr>
          <w:rFonts w:ascii="Arial" w:hAnsi="Arial" w:cs="Arial"/>
          <w:sz w:val="24"/>
          <w:szCs w:val="28"/>
          <w:lang w:val="en-CA"/>
        </w:rPr>
        <w:t>Spokane, WA, US, April 3 – 7, 2017</w:t>
      </w:r>
      <w:bookmarkStart w:id="0" w:name="_GoBack"/>
      <w:bookmarkEnd w:id="0"/>
    </w:p>
    <w:p w:rsidR="00D80957" w:rsidRPr="00457F73" w:rsidRDefault="00D80957" w:rsidP="0033186E">
      <w:pPr>
        <w:tabs>
          <w:tab w:val="left" w:pos="1985"/>
        </w:tabs>
        <w:spacing w:before="240" w:after="0"/>
        <w:jc w:val="both"/>
        <w:rPr>
          <w:rFonts w:ascii="Arial" w:hAnsi="Arial" w:cs="Arial"/>
          <w:bCs/>
          <w:sz w:val="22"/>
          <w:szCs w:val="22"/>
          <w:lang w:val="en-CA"/>
        </w:rPr>
      </w:pPr>
      <w:r w:rsidRPr="00457F73">
        <w:rPr>
          <w:rFonts w:ascii="Arial" w:hAnsi="Arial" w:cs="Arial"/>
          <w:b/>
          <w:sz w:val="22"/>
          <w:szCs w:val="22"/>
          <w:lang w:val="en-CA"/>
        </w:rPr>
        <w:t>Agenda Item:</w:t>
      </w:r>
      <w:r w:rsidRPr="00457F73">
        <w:rPr>
          <w:rFonts w:ascii="Arial" w:hAnsi="Arial" w:cs="Arial"/>
          <w:b/>
          <w:sz w:val="22"/>
          <w:szCs w:val="22"/>
          <w:lang w:val="en-CA"/>
        </w:rPr>
        <w:tab/>
      </w:r>
      <w:r w:rsidR="00556628">
        <w:rPr>
          <w:rFonts w:ascii="Arial" w:hAnsi="Arial" w:cs="Arial"/>
          <w:bCs/>
          <w:sz w:val="22"/>
          <w:szCs w:val="22"/>
          <w:lang w:val="en-CA"/>
        </w:rPr>
        <w:t>5.4.3</w:t>
      </w:r>
    </w:p>
    <w:p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rsidR="00D80957" w:rsidRPr="00457F73" w:rsidRDefault="00D80957" w:rsidP="00FE2AF6">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F2224E">
        <w:rPr>
          <w:rFonts w:ascii="Arial" w:hAnsi="Arial" w:cs="Arial"/>
          <w:sz w:val="22"/>
          <w:szCs w:val="22"/>
          <w:lang w:val="en-CA"/>
        </w:rPr>
        <w:t>RSRP/RSRQ accuracies with 2</w:t>
      </w:r>
      <w:r w:rsidR="00556628" w:rsidRPr="00556628">
        <w:rPr>
          <w:rFonts w:ascii="Arial" w:hAnsi="Arial" w:cs="Arial"/>
          <w:sz w:val="22"/>
          <w:szCs w:val="22"/>
          <w:lang w:val="en-CA"/>
        </w:rPr>
        <w:t>Rx branches in normal and enhanced coverages</w:t>
      </w:r>
    </w:p>
    <w:p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F56366" w:rsidRPr="00457F73">
        <w:rPr>
          <w:rFonts w:ascii="Arial" w:hAnsi="Arial" w:cs="Arial"/>
          <w:sz w:val="22"/>
          <w:szCs w:val="22"/>
          <w:lang w:val="en-CA"/>
        </w:rPr>
        <w:t>Discussion</w:t>
      </w:r>
    </w:p>
    <w:p w:rsidR="00D80957" w:rsidRPr="00457F73"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rsidR="00B10AB7" w:rsidRDefault="00B10AB7" w:rsidP="00BD2156">
      <w:pPr>
        <w:jc w:val="both"/>
        <w:rPr>
          <w:sz w:val="22"/>
          <w:szCs w:val="22"/>
          <w:lang w:val="en-CA"/>
        </w:rPr>
      </w:pPr>
      <w:r>
        <w:rPr>
          <w:sz w:val="22"/>
          <w:szCs w:val="22"/>
          <w:lang w:val="en-CA"/>
        </w:rPr>
        <w:t>At RAN4#82 it was decided that RAN4 shall specify RRM requirements for UE category L – comprising all legacy UE categories except category 0 and M1 – for operation in CE mode according to each device’s capability.</w:t>
      </w:r>
    </w:p>
    <w:p w:rsidR="00B10AB7" w:rsidRDefault="00B10AB7" w:rsidP="00BD2156">
      <w:pPr>
        <w:jc w:val="both"/>
        <w:rPr>
          <w:sz w:val="22"/>
          <w:szCs w:val="22"/>
          <w:lang w:val="en-CA"/>
        </w:rPr>
      </w:pPr>
      <w:r>
        <w:rPr>
          <w:sz w:val="22"/>
          <w:szCs w:val="22"/>
          <w:lang w:val="en-CA"/>
        </w:rPr>
        <w:t xml:space="preserve">The agreement in the WF </w:t>
      </w:r>
      <w:r>
        <w:rPr>
          <w:sz w:val="22"/>
          <w:szCs w:val="22"/>
          <w:lang w:val="en-CA"/>
        </w:rPr>
        <w:fldChar w:fldCharType="begin"/>
      </w:r>
      <w:r>
        <w:rPr>
          <w:sz w:val="22"/>
          <w:szCs w:val="22"/>
          <w:lang w:val="en-CA"/>
        </w:rPr>
        <w:instrText xml:space="preserve"> REF _Ref478151172 \r \h </w:instrText>
      </w:r>
      <w:r>
        <w:rPr>
          <w:sz w:val="22"/>
          <w:szCs w:val="22"/>
          <w:lang w:val="en-CA"/>
        </w:rPr>
      </w:r>
      <w:r>
        <w:rPr>
          <w:sz w:val="22"/>
          <w:szCs w:val="22"/>
          <w:lang w:val="en-CA"/>
        </w:rPr>
        <w:fldChar w:fldCharType="separate"/>
      </w:r>
      <w:r w:rsidR="00622456">
        <w:rPr>
          <w:sz w:val="22"/>
          <w:szCs w:val="22"/>
          <w:lang w:val="en-CA"/>
        </w:rPr>
        <w:t>[1]</w:t>
      </w:r>
      <w:r>
        <w:rPr>
          <w:sz w:val="22"/>
          <w:szCs w:val="22"/>
          <w:lang w:val="en-CA"/>
        </w:rPr>
        <w:fldChar w:fldCharType="end"/>
      </w:r>
      <w:r>
        <w:rPr>
          <w:sz w:val="22"/>
          <w:szCs w:val="22"/>
          <w:lang w:val="en-CA"/>
        </w:rPr>
        <w:t xml:space="preserve"> states as follows</w:t>
      </w:r>
      <w:r w:rsidR="005C4634">
        <w:rPr>
          <w:sz w:val="22"/>
          <w:szCs w:val="22"/>
          <w:lang w:val="en-CA"/>
        </w:rPr>
        <w:t>.</w:t>
      </w:r>
    </w:p>
    <w:p w:rsidR="00FE3394" w:rsidRDefault="00B10AB7" w:rsidP="005C4634">
      <w:pPr>
        <w:ind w:left="568"/>
        <w:jc w:val="both"/>
        <w:rPr>
          <w:sz w:val="22"/>
          <w:szCs w:val="22"/>
          <w:lang w:val="en-CA"/>
        </w:rPr>
      </w:pPr>
      <w:r w:rsidRPr="00B10AB7">
        <w:rPr>
          <w:noProof/>
          <w:sz w:val="22"/>
          <w:szCs w:val="22"/>
          <w:lang w:val="sv-SE" w:eastAsia="zh-CN"/>
        </w:rPr>
        <mc:AlternateContent>
          <mc:Choice Requires="wps">
            <w:drawing>
              <wp:inline distT="0" distB="0" distL="0" distR="0" wp14:anchorId="33046266" wp14:editId="4A3FBCD2">
                <wp:extent cx="5400675" cy="2743200"/>
                <wp:effectExtent l="0" t="0" r="2857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2743200"/>
                        </a:xfrm>
                        <a:prstGeom prst="rect">
                          <a:avLst/>
                        </a:prstGeom>
                        <a:solidFill>
                          <a:srgbClr val="FFFFFF"/>
                        </a:solidFill>
                        <a:ln w="9525">
                          <a:solidFill>
                            <a:srgbClr val="000000"/>
                          </a:solidFill>
                          <a:miter lim="800000"/>
                          <a:headEnd/>
                          <a:tailEnd/>
                        </a:ln>
                      </wps:spPr>
                      <wps:txbx>
                        <w:txbxContent>
                          <w:p w:rsidR="00B10AB7" w:rsidRDefault="00B10AB7" w:rsidP="005C4634">
                            <w:pPr>
                              <w:jc w:val="center"/>
                            </w:pPr>
                            <w:r w:rsidRPr="00B10AB7">
                              <w:rPr>
                                <w:noProof/>
                                <w:lang w:val="sv-SE" w:eastAsia="zh-CN"/>
                              </w:rPr>
                              <w:drawing>
                                <wp:inline distT="0" distB="0" distL="0" distR="0" wp14:anchorId="4F9CE1FB" wp14:editId="50964A6D">
                                  <wp:extent cx="5219223" cy="29908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1437" cy="2997849"/>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inline>
            </w:drawing>
          </mc:Choice>
          <mc:Fallback>
            <w:pict>
              <v:shapetype w14:anchorId="33046266" id="_x0000_t202" coordsize="21600,21600" o:spt="202" path="m,l,21600r21600,l21600,xe">
                <v:stroke joinstyle="miter"/>
                <v:path gradientshapeok="t" o:connecttype="rect"/>
              </v:shapetype>
              <v:shape id="Text Box 2" o:spid="_x0000_s1026" type="#_x0000_t202" style="width:425.25pt;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">
                <v:textbox>
                  <w:txbxContent>
                    <w:p w:rsidR="00B10AB7" w:rsidRDefault="00B10AB7" w:rsidP="005C4634">
                      <w:pPr>
                        <w:jc w:val="center"/>
                      </w:pPr>
                      <w:r w:rsidRPr="00B10AB7">
                        <w:rPr>
                          <w:lang w:val="sv-SE"/>
                        </w:rPr>
                        <w:drawing>
                          <wp:inline distT="0" distB="0" distL="0" distR="0" wp14:anchorId="4F9CE1FB" wp14:editId="50964A6D">
                            <wp:extent cx="5219223" cy="29908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1437" cy="2997849"/>
                                    </a:xfrm>
                                    <a:prstGeom prst="rect">
                                      <a:avLst/>
                                    </a:prstGeom>
                                    <a:noFill/>
                                    <a:ln>
                                      <a:noFill/>
                                    </a:ln>
                                  </pic:spPr>
                                </pic:pic>
                              </a:graphicData>
                            </a:graphic>
                          </wp:inline>
                        </w:drawing>
                      </w:r>
                    </w:p>
                  </w:txbxContent>
                </v:textbox>
                <w10:anchorlock/>
              </v:shape>
            </w:pict>
          </mc:Fallback>
        </mc:AlternateContent>
      </w:r>
    </w:p>
    <w:p w:rsidR="00B10AB7" w:rsidRDefault="005C4634" w:rsidP="00BD2156">
      <w:pPr>
        <w:jc w:val="both"/>
        <w:rPr>
          <w:sz w:val="22"/>
          <w:szCs w:val="22"/>
          <w:lang w:val="en-CA"/>
        </w:rPr>
      </w:pPr>
      <w:r>
        <w:rPr>
          <w:sz w:val="22"/>
          <w:szCs w:val="22"/>
          <w:lang w:val="en-CA"/>
        </w:rPr>
        <w:t>Particularly, RSRP and RSRQ using 2 RX antennas while operating in CE shall be investigated.</w:t>
      </w:r>
    </w:p>
    <w:p w:rsidR="005C4634" w:rsidRPr="00457F73" w:rsidRDefault="005C4634" w:rsidP="00BD2156">
      <w:pPr>
        <w:jc w:val="both"/>
        <w:rPr>
          <w:sz w:val="22"/>
          <w:szCs w:val="22"/>
          <w:lang w:val="en-CA"/>
        </w:rPr>
      </w:pPr>
      <w:r>
        <w:rPr>
          <w:sz w:val="22"/>
          <w:szCs w:val="22"/>
          <w:lang w:val="en-CA"/>
        </w:rPr>
        <w:t>In this contribution we provide simulation results for RSRP and RSRQ using 1 and 2 RX antennas.</w:t>
      </w:r>
      <w:r w:rsidR="00622456">
        <w:rPr>
          <w:sz w:val="22"/>
          <w:szCs w:val="22"/>
          <w:lang w:val="en-CA"/>
        </w:rPr>
        <w:t xml:space="preserve"> The results h</w:t>
      </w:r>
      <w:r w:rsidR="00E543BB">
        <w:rPr>
          <w:sz w:val="22"/>
          <w:szCs w:val="22"/>
          <w:lang w:val="en-CA"/>
        </w:rPr>
        <w:t>ave previously been presented at RAN4#75.</w:t>
      </w:r>
      <w:r w:rsidR="00622456">
        <w:rPr>
          <w:sz w:val="22"/>
          <w:szCs w:val="22"/>
          <w:lang w:val="en-CA"/>
        </w:rPr>
        <w:t xml:space="preserve"> </w:t>
      </w:r>
    </w:p>
    <w:p w:rsidR="00D80957" w:rsidRPr="00457F73" w:rsidRDefault="0042211A" w:rsidP="00BD2156">
      <w:pPr>
        <w:pStyle w:val="Heading1"/>
        <w:ind w:left="431" w:hanging="431"/>
        <w:rPr>
          <w:szCs w:val="36"/>
          <w:lang w:val="en-CA"/>
        </w:rPr>
      </w:pPr>
      <w:r>
        <w:rPr>
          <w:szCs w:val="36"/>
          <w:lang w:val="en-CA"/>
        </w:rPr>
        <w:t>Simulations</w:t>
      </w:r>
    </w:p>
    <w:p w:rsidR="00622456" w:rsidRDefault="00622456" w:rsidP="00622456">
      <w:pPr>
        <w:jc w:val="both"/>
        <w:rPr>
          <w:sz w:val="22"/>
          <w:szCs w:val="22"/>
          <w:lang w:val="en-US" w:eastAsia="ja-JP"/>
        </w:rPr>
      </w:pPr>
      <w:r w:rsidRPr="0056495E">
        <w:rPr>
          <w:sz w:val="22"/>
          <w:szCs w:val="22"/>
          <w:lang w:val="en-US" w:eastAsia="ja-JP"/>
        </w:rPr>
        <w:t xml:space="preserve">To be able to accurately support coverage </w:t>
      </w:r>
      <w:r>
        <w:rPr>
          <w:sz w:val="22"/>
          <w:szCs w:val="22"/>
          <w:lang w:val="en-US" w:eastAsia="ja-JP"/>
        </w:rPr>
        <w:t xml:space="preserve">enhancement </w:t>
      </w:r>
      <w:r w:rsidRPr="0056495E">
        <w:rPr>
          <w:sz w:val="22"/>
          <w:szCs w:val="22"/>
          <w:lang w:val="en-US" w:eastAsia="ja-JP"/>
        </w:rPr>
        <w:t>down to SI</w:t>
      </w:r>
      <w:r>
        <w:rPr>
          <w:sz w:val="22"/>
          <w:szCs w:val="22"/>
          <w:lang w:val="en-US" w:eastAsia="ja-JP"/>
        </w:rPr>
        <w:t>NR</w:t>
      </w:r>
      <w:r w:rsidRPr="0056495E">
        <w:rPr>
          <w:sz w:val="22"/>
          <w:szCs w:val="22"/>
          <w:lang w:val="en-US" w:eastAsia="ja-JP"/>
        </w:rPr>
        <w:t>, the coherent averaging needs to include more samples to provide another 12dB increase in SNR, totaling to SNR 21dB compared to that of an individual CRS. This means that ideally the coherent average shall comprise about 128 CRSs in order to sufficiently suppress the bias under the existing measurement accuracy requirements. However, using all CRSs in two adjacent subframes only provides 96 CRSs. Assuming that CRSs in more than two adjacent subframes can be used for coherent averaging is not possible in the general case, firstly due to the frame structures (see above) and secondly due to the potentially larger frequency offset</w:t>
      </w:r>
      <w:r>
        <w:rPr>
          <w:sz w:val="22"/>
          <w:szCs w:val="22"/>
          <w:lang w:val="en-US" w:eastAsia="ja-JP"/>
        </w:rPr>
        <w:t xml:space="preserve"> compared to legacy</w:t>
      </w:r>
      <w:r w:rsidRPr="0056495E">
        <w:rPr>
          <w:sz w:val="22"/>
          <w:szCs w:val="22"/>
          <w:lang w:val="en-US" w:eastAsia="ja-JP"/>
        </w:rPr>
        <w:t xml:space="preserve"> caused by impaired AFC operation at very low SINR.</w:t>
      </w:r>
      <w:r>
        <w:rPr>
          <w:sz w:val="22"/>
          <w:szCs w:val="22"/>
          <w:lang w:val="en-US" w:eastAsia="ja-JP"/>
        </w:rPr>
        <w:t xml:space="preserve"> The two sizes of coherent averages are shown in</w:t>
      </w:r>
      <w:r w:rsidRPr="00D34A9C">
        <w:rPr>
          <w:sz w:val="22"/>
          <w:szCs w:val="22"/>
          <w:lang w:val="en-US" w:eastAsia="ja-JP"/>
        </w:rPr>
        <w:t xml:space="preserve"> </w:t>
      </w:r>
      <w:r w:rsidRPr="00D34A9C">
        <w:rPr>
          <w:sz w:val="22"/>
          <w:szCs w:val="22"/>
          <w:lang w:val="en-US" w:eastAsia="ja-JP"/>
        </w:rPr>
        <w:fldChar w:fldCharType="begin"/>
      </w:r>
      <w:r w:rsidRPr="00D34A9C">
        <w:rPr>
          <w:sz w:val="22"/>
          <w:szCs w:val="22"/>
          <w:lang w:val="en-US" w:eastAsia="ja-JP"/>
        </w:rPr>
        <w:instrText xml:space="preserve"> REF _Ref416707870 \h  \* MERGEFORMAT </w:instrText>
      </w:r>
      <w:r w:rsidRPr="00D34A9C">
        <w:rPr>
          <w:sz w:val="22"/>
          <w:szCs w:val="22"/>
          <w:lang w:val="en-US" w:eastAsia="ja-JP"/>
        </w:rPr>
      </w:r>
      <w:r w:rsidRPr="00D34A9C">
        <w:rPr>
          <w:sz w:val="22"/>
          <w:szCs w:val="22"/>
          <w:lang w:val="en-US" w:eastAsia="ja-JP"/>
        </w:rPr>
        <w:fldChar w:fldCharType="separate"/>
      </w:r>
      <w:r w:rsidRPr="00622456">
        <w:rPr>
          <w:sz w:val="22"/>
          <w:szCs w:val="22"/>
          <w:lang w:val="en-US"/>
        </w:rPr>
        <w:t xml:space="preserve">Figure </w:t>
      </w:r>
      <w:r w:rsidRPr="00622456">
        <w:rPr>
          <w:noProof/>
          <w:sz w:val="22"/>
          <w:szCs w:val="22"/>
          <w:lang w:val="en-US"/>
        </w:rPr>
        <w:t>1</w:t>
      </w:r>
      <w:r w:rsidRPr="00D34A9C">
        <w:rPr>
          <w:sz w:val="22"/>
          <w:szCs w:val="22"/>
          <w:lang w:val="en-US" w:eastAsia="ja-JP"/>
        </w:rPr>
        <w:fldChar w:fldCharType="end"/>
      </w:r>
      <w:r>
        <w:rPr>
          <w:sz w:val="22"/>
          <w:szCs w:val="22"/>
          <w:lang w:val="en-US" w:eastAsia="ja-JP"/>
        </w:rPr>
        <w:t>.</w:t>
      </w:r>
    </w:p>
    <w:p w:rsidR="00622456" w:rsidRDefault="00622456" w:rsidP="00622456">
      <w:pPr>
        <w:keepNext/>
        <w:jc w:val="both"/>
      </w:pPr>
      <w:r>
        <w:object w:dxaOrig="8955"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9pt;height:159.9pt" o:ole="">
            <v:imagedata r:id="rId10" o:title=""/>
          </v:shape>
          <o:OLEObject Type="Embed" ProgID="Visio.Drawing.15" ShapeID="_x0000_i1025" DrawAspect="Content" ObjectID="_1551896631" r:id="rId11"/>
        </w:object>
      </w:r>
    </w:p>
    <w:p w:rsidR="00622456" w:rsidRPr="00D34A9C" w:rsidRDefault="00622456" w:rsidP="00622456">
      <w:pPr>
        <w:pStyle w:val="Caption"/>
        <w:jc w:val="both"/>
        <w:rPr>
          <w:sz w:val="22"/>
          <w:lang w:val="en-US"/>
        </w:rPr>
      </w:pPr>
      <w:bookmarkStart w:id="3" w:name="_Ref416707870"/>
      <w:r w:rsidRPr="00D34A9C">
        <w:rPr>
          <w:sz w:val="22"/>
          <w:lang w:val="en-US"/>
        </w:rPr>
        <w:t xml:space="preserve">Figure </w:t>
      </w:r>
      <w:r w:rsidRPr="00D34A9C">
        <w:rPr>
          <w:sz w:val="22"/>
        </w:rPr>
        <w:fldChar w:fldCharType="begin"/>
      </w:r>
      <w:r w:rsidRPr="00D34A9C">
        <w:rPr>
          <w:sz w:val="22"/>
          <w:lang w:val="en-US"/>
        </w:rPr>
        <w:instrText xml:space="preserve"> SEQ Figure \* ARABIC </w:instrText>
      </w:r>
      <w:r w:rsidRPr="00D34A9C">
        <w:rPr>
          <w:sz w:val="22"/>
        </w:rPr>
        <w:fldChar w:fldCharType="separate"/>
      </w:r>
      <w:r>
        <w:rPr>
          <w:noProof/>
          <w:sz w:val="22"/>
          <w:lang w:val="en-US"/>
        </w:rPr>
        <w:t>1</w:t>
      </w:r>
      <w:r w:rsidRPr="00D34A9C">
        <w:rPr>
          <w:sz w:val="22"/>
        </w:rPr>
        <w:fldChar w:fldCharType="end"/>
      </w:r>
      <w:bookmarkEnd w:id="3"/>
      <w:r w:rsidRPr="00D34A9C">
        <w:rPr>
          <w:sz w:val="22"/>
          <w:lang w:val="en-US"/>
        </w:rPr>
        <w:t xml:space="preserve">: </w:t>
      </w:r>
      <w:r w:rsidRPr="00A12DBD">
        <w:rPr>
          <w:b w:val="0"/>
          <w:sz w:val="22"/>
          <w:lang w:val="en-US"/>
        </w:rPr>
        <w:t>Illustration of (left) coherent averaging based on 8 CRSs and (right) on 96 CRSs. The former can increase the SINR by 9dB and the latter by 19.8 dB.</w:t>
      </w:r>
    </w:p>
    <w:p w:rsidR="00622456" w:rsidRPr="00D34A9C" w:rsidRDefault="00622456" w:rsidP="00622456">
      <w:pPr>
        <w:rPr>
          <w:lang w:val="en-US" w:eastAsia="ja-JP"/>
        </w:rPr>
      </w:pPr>
    </w:p>
    <w:p w:rsidR="00622456" w:rsidRDefault="00622456" w:rsidP="00622456">
      <w:pPr>
        <w:jc w:val="both"/>
        <w:rPr>
          <w:sz w:val="22"/>
          <w:szCs w:val="22"/>
          <w:lang w:val="en-US" w:eastAsia="ja-JP"/>
        </w:rPr>
      </w:pPr>
      <w:r>
        <w:rPr>
          <w:sz w:val="22"/>
          <w:szCs w:val="22"/>
          <w:lang w:val="en-US" w:eastAsia="ja-JP"/>
        </w:rPr>
        <w:t xml:space="preserve">Simulations have been carried out using coherent averaging over 96 CRSs (averaging over 2 subframes in time and 6 RBs in frequency) and non-coherent averaging over 10 coherent averages. With a 40ms measurement cycle and two subframes captured each measurement occasion, the measurement period is 400ms. In order to investigate different cases of stationary conditions, simulations were carried out for AWGN, EPA 1HZ and ETU 1Hz. To emulate low mobility, EPA 5Hz and ETU 30Hz were simulated. The simulation parameters are shown in </w:t>
      </w:r>
      <w:r>
        <w:rPr>
          <w:sz w:val="22"/>
          <w:szCs w:val="22"/>
          <w:lang w:val="en-US" w:eastAsia="ja-JP"/>
        </w:rPr>
        <w:fldChar w:fldCharType="begin"/>
      </w:r>
      <w:r>
        <w:rPr>
          <w:sz w:val="22"/>
          <w:szCs w:val="22"/>
          <w:lang w:val="en-US" w:eastAsia="ja-JP"/>
        </w:rPr>
        <w:instrText xml:space="preserve"> REF _Ref416708075 \h </w:instrText>
      </w:r>
      <w:r>
        <w:rPr>
          <w:sz w:val="22"/>
          <w:szCs w:val="22"/>
          <w:lang w:val="en-US" w:eastAsia="ja-JP"/>
        </w:rPr>
      </w:r>
      <w:r>
        <w:rPr>
          <w:sz w:val="22"/>
          <w:szCs w:val="22"/>
          <w:lang w:val="en-US" w:eastAsia="ja-JP"/>
        </w:rPr>
        <w:fldChar w:fldCharType="separate"/>
      </w:r>
      <w:r w:rsidRPr="00622456">
        <w:rPr>
          <w:sz w:val="22"/>
          <w:lang w:val="en-US"/>
        </w:rPr>
        <w:t xml:space="preserve">Table </w:t>
      </w:r>
      <w:r>
        <w:rPr>
          <w:noProof/>
          <w:sz w:val="22"/>
          <w:lang w:val="en-US"/>
        </w:rPr>
        <w:t>1</w:t>
      </w:r>
      <w:r>
        <w:rPr>
          <w:sz w:val="22"/>
          <w:szCs w:val="22"/>
          <w:lang w:val="en-US" w:eastAsia="ja-JP"/>
        </w:rPr>
        <w:fldChar w:fldCharType="end"/>
      </w:r>
      <w:r>
        <w:rPr>
          <w:sz w:val="22"/>
          <w:szCs w:val="22"/>
          <w:lang w:val="en-US" w:eastAsia="ja-JP"/>
        </w:rPr>
        <w:t>. The simulation results are shown below.</w:t>
      </w:r>
    </w:p>
    <w:p w:rsidR="00622456" w:rsidRDefault="00622456" w:rsidP="00622456">
      <w:pPr>
        <w:jc w:val="both"/>
        <w:rPr>
          <w:sz w:val="22"/>
          <w:szCs w:val="22"/>
          <w:lang w:val="en-US" w:eastAsia="ja-JP"/>
        </w:rPr>
      </w:pPr>
      <w:r>
        <w:rPr>
          <w:sz w:val="22"/>
          <w:szCs w:val="22"/>
          <w:lang w:val="en-US" w:eastAsia="ja-JP"/>
        </w:rPr>
        <w:br/>
      </w:r>
    </w:p>
    <w:p w:rsidR="00622456" w:rsidRDefault="00622456" w:rsidP="00622456">
      <w:pPr>
        <w:jc w:val="both"/>
        <w:rPr>
          <w:sz w:val="22"/>
          <w:szCs w:val="22"/>
          <w:lang w:val="en-US" w:eastAsia="ja-JP"/>
        </w:rPr>
      </w:pPr>
    </w:p>
    <w:p w:rsidR="00622456" w:rsidRPr="00622456" w:rsidRDefault="00622456" w:rsidP="00622456">
      <w:pPr>
        <w:pStyle w:val="Caption"/>
        <w:keepNext/>
        <w:ind w:left="1988" w:firstLine="284"/>
        <w:rPr>
          <w:sz w:val="22"/>
          <w:lang w:val="en-US"/>
        </w:rPr>
      </w:pPr>
      <w:bookmarkStart w:id="4" w:name="_Ref416645551"/>
      <w:r w:rsidRPr="00D34A9C">
        <w:rPr>
          <w:sz w:val="22"/>
          <w:lang w:val="en-US"/>
        </w:rPr>
        <w:br w:type="page"/>
      </w:r>
      <w:bookmarkStart w:id="5" w:name="_Ref416708075"/>
      <w:r w:rsidRPr="00622456">
        <w:rPr>
          <w:sz w:val="22"/>
          <w:lang w:val="en-US"/>
        </w:rPr>
        <w:lastRenderedPageBreak/>
        <w:t xml:space="preserve">Table </w:t>
      </w:r>
      <w:r w:rsidRPr="00F27D1D">
        <w:rPr>
          <w:sz w:val="22"/>
        </w:rPr>
        <w:fldChar w:fldCharType="begin"/>
      </w:r>
      <w:r w:rsidRPr="00622456">
        <w:rPr>
          <w:sz w:val="22"/>
          <w:lang w:val="en-US"/>
        </w:rPr>
        <w:instrText xml:space="preserve"> SEQ Table \* ARABIC </w:instrText>
      </w:r>
      <w:r w:rsidRPr="00F27D1D">
        <w:rPr>
          <w:sz w:val="22"/>
        </w:rPr>
        <w:fldChar w:fldCharType="separate"/>
      </w:r>
      <w:r>
        <w:rPr>
          <w:noProof/>
          <w:sz w:val="22"/>
          <w:lang w:val="en-US"/>
        </w:rPr>
        <w:t>1</w:t>
      </w:r>
      <w:r w:rsidRPr="00F27D1D">
        <w:rPr>
          <w:sz w:val="22"/>
        </w:rPr>
        <w:fldChar w:fldCharType="end"/>
      </w:r>
      <w:bookmarkEnd w:id="4"/>
      <w:bookmarkEnd w:id="5"/>
      <w:r w:rsidRPr="00622456">
        <w:rPr>
          <w:sz w:val="22"/>
          <w:lang w:val="en-US"/>
        </w:rPr>
        <w:t xml:space="preserve">: </w:t>
      </w:r>
      <w:r w:rsidRPr="00622456">
        <w:rPr>
          <w:b w:val="0"/>
          <w:sz w:val="22"/>
          <w:lang w:val="en-US"/>
        </w:rPr>
        <w:t>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134"/>
        <w:gridCol w:w="1134"/>
      </w:tblGrid>
      <w:tr w:rsidR="00622456" w:rsidRPr="00C2146E" w:rsidTr="00AA513C">
        <w:trPr>
          <w:jc w:val="center"/>
        </w:trPr>
        <w:tc>
          <w:tcPr>
            <w:tcW w:w="2943" w:type="dxa"/>
            <w:shd w:val="clear" w:color="auto" w:fill="auto"/>
          </w:tcPr>
          <w:p w:rsidR="00622456" w:rsidRPr="00C2146E" w:rsidRDefault="00622456" w:rsidP="00AA513C">
            <w:pPr>
              <w:spacing w:after="0"/>
              <w:rPr>
                <w:sz w:val="22"/>
              </w:rPr>
            </w:pPr>
            <w:r w:rsidRPr="00C2146E">
              <w:rPr>
                <w:sz w:val="22"/>
              </w:rPr>
              <w:t>Case</w:t>
            </w:r>
          </w:p>
        </w:tc>
        <w:tc>
          <w:tcPr>
            <w:tcW w:w="1134" w:type="dxa"/>
            <w:shd w:val="clear" w:color="auto" w:fill="auto"/>
          </w:tcPr>
          <w:p w:rsidR="00622456" w:rsidRPr="00C2146E" w:rsidRDefault="00622456" w:rsidP="00AA513C">
            <w:pPr>
              <w:spacing w:after="0"/>
              <w:rPr>
                <w:sz w:val="22"/>
              </w:rPr>
            </w:pPr>
            <w:r w:rsidRPr="00C2146E">
              <w:rPr>
                <w:sz w:val="22"/>
              </w:rPr>
              <w:t>12x8 1Rx</w:t>
            </w:r>
          </w:p>
        </w:tc>
        <w:tc>
          <w:tcPr>
            <w:tcW w:w="1134" w:type="dxa"/>
            <w:shd w:val="clear" w:color="auto" w:fill="auto"/>
          </w:tcPr>
          <w:p w:rsidR="00622456" w:rsidRPr="00C2146E" w:rsidRDefault="00622456" w:rsidP="00AA513C">
            <w:pPr>
              <w:spacing w:after="0"/>
              <w:rPr>
                <w:sz w:val="22"/>
              </w:rPr>
            </w:pPr>
            <w:r w:rsidRPr="00C2146E">
              <w:rPr>
                <w:sz w:val="22"/>
              </w:rPr>
              <w:t>12x8 2Rx</w:t>
            </w:r>
          </w:p>
        </w:tc>
      </w:tr>
      <w:tr w:rsidR="00622456" w:rsidRPr="00C2146E" w:rsidTr="00AA513C">
        <w:trPr>
          <w:jc w:val="center"/>
        </w:trPr>
        <w:tc>
          <w:tcPr>
            <w:tcW w:w="2943" w:type="dxa"/>
            <w:shd w:val="clear" w:color="auto" w:fill="auto"/>
          </w:tcPr>
          <w:p w:rsidR="00622456" w:rsidRPr="00C2146E" w:rsidRDefault="00622456" w:rsidP="00AA513C">
            <w:pPr>
              <w:spacing w:after="0"/>
              <w:rPr>
                <w:sz w:val="22"/>
              </w:rPr>
            </w:pPr>
            <w:r w:rsidRPr="00C2146E">
              <w:rPr>
                <w:sz w:val="22"/>
              </w:rPr>
              <w:t>Cell</w:t>
            </w:r>
          </w:p>
        </w:tc>
        <w:tc>
          <w:tcPr>
            <w:tcW w:w="2268" w:type="dxa"/>
            <w:gridSpan w:val="2"/>
            <w:shd w:val="clear" w:color="auto" w:fill="auto"/>
          </w:tcPr>
          <w:p w:rsidR="00622456" w:rsidRPr="00C2146E" w:rsidRDefault="00622456" w:rsidP="00AA513C">
            <w:pPr>
              <w:spacing w:after="0"/>
              <w:jc w:val="center"/>
              <w:rPr>
                <w:sz w:val="22"/>
              </w:rPr>
            </w:pPr>
            <w:r w:rsidRPr="00C2146E">
              <w:rPr>
                <w:sz w:val="22"/>
              </w:rPr>
              <w:t>PCI 123</w:t>
            </w:r>
          </w:p>
        </w:tc>
      </w:tr>
      <w:tr w:rsidR="00622456" w:rsidRPr="00C2146E" w:rsidTr="00AA513C">
        <w:trPr>
          <w:jc w:val="center"/>
        </w:trPr>
        <w:tc>
          <w:tcPr>
            <w:tcW w:w="2943" w:type="dxa"/>
            <w:shd w:val="clear" w:color="auto" w:fill="auto"/>
          </w:tcPr>
          <w:p w:rsidR="00622456" w:rsidRPr="00C2146E" w:rsidRDefault="00622456" w:rsidP="00AA513C">
            <w:pPr>
              <w:spacing w:after="0"/>
              <w:rPr>
                <w:sz w:val="22"/>
              </w:rPr>
            </w:pPr>
            <w:r w:rsidRPr="00C2146E">
              <w:rPr>
                <w:sz w:val="22"/>
              </w:rPr>
              <w:t>Load condition</w:t>
            </w:r>
          </w:p>
        </w:tc>
        <w:tc>
          <w:tcPr>
            <w:tcW w:w="2268" w:type="dxa"/>
            <w:gridSpan w:val="2"/>
            <w:shd w:val="clear" w:color="auto" w:fill="auto"/>
          </w:tcPr>
          <w:p w:rsidR="00622456" w:rsidRPr="00C2146E" w:rsidRDefault="00622456" w:rsidP="00AA513C">
            <w:pPr>
              <w:spacing w:after="0"/>
              <w:jc w:val="center"/>
              <w:rPr>
                <w:sz w:val="22"/>
              </w:rPr>
            </w:pPr>
            <w:r w:rsidRPr="00C2146E">
              <w:rPr>
                <w:sz w:val="22"/>
              </w:rPr>
              <w:t>Fully loaded (OCNG)</w:t>
            </w:r>
          </w:p>
        </w:tc>
      </w:tr>
      <w:tr w:rsidR="00622456" w:rsidRPr="00C2146E" w:rsidTr="00AA513C">
        <w:trPr>
          <w:jc w:val="center"/>
        </w:trPr>
        <w:tc>
          <w:tcPr>
            <w:tcW w:w="2943" w:type="dxa"/>
            <w:shd w:val="clear" w:color="auto" w:fill="auto"/>
          </w:tcPr>
          <w:p w:rsidR="00622456" w:rsidRPr="00C2146E" w:rsidRDefault="00622456" w:rsidP="00AA513C">
            <w:pPr>
              <w:spacing w:after="0"/>
              <w:rPr>
                <w:sz w:val="22"/>
              </w:rPr>
            </w:pPr>
            <w:r w:rsidRPr="00C2146E">
              <w:rPr>
                <w:sz w:val="22"/>
              </w:rPr>
              <w:t>eNodeB Tx ports</w:t>
            </w:r>
          </w:p>
        </w:tc>
        <w:tc>
          <w:tcPr>
            <w:tcW w:w="2268" w:type="dxa"/>
            <w:gridSpan w:val="2"/>
            <w:shd w:val="clear" w:color="auto" w:fill="auto"/>
          </w:tcPr>
          <w:p w:rsidR="00622456" w:rsidRPr="00C2146E" w:rsidRDefault="00622456" w:rsidP="00AA513C">
            <w:pPr>
              <w:spacing w:after="0"/>
              <w:jc w:val="center"/>
              <w:rPr>
                <w:sz w:val="22"/>
              </w:rPr>
            </w:pPr>
            <w:r w:rsidRPr="00C2146E">
              <w:rPr>
                <w:sz w:val="22"/>
              </w:rPr>
              <w:t>1</w:t>
            </w:r>
          </w:p>
        </w:tc>
      </w:tr>
      <w:tr w:rsidR="00622456" w:rsidRPr="00C2146E" w:rsidTr="00AA513C">
        <w:trPr>
          <w:jc w:val="center"/>
        </w:trPr>
        <w:tc>
          <w:tcPr>
            <w:tcW w:w="2943" w:type="dxa"/>
            <w:shd w:val="clear" w:color="auto" w:fill="auto"/>
          </w:tcPr>
          <w:p w:rsidR="00622456" w:rsidRPr="00C2146E" w:rsidRDefault="00622456" w:rsidP="00AA513C">
            <w:pPr>
              <w:spacing w:after="0"/>
              <w:rPr>
                <w:sz w:val="22"/>
              </w:rPr>
            </w:pPr>
            <w:r w:rsidRPr="00C2146E">
              <w:rPr>
                <w:sz w:val="22"/>
              </w:rPr>
              <w:t>Measurement period</w:t>
            </w:r>
          </w:p>
        </w:tc>
        <w:tc>
          <w:tcPr>
            <w:tcW w:w="2268" w:type="dxa"/>
            <w:gridSpan w:val="2"/>
            <w:shd w:val="clear" w:color="auto" w:fill="auto"/>
          </w:tcPr>
          <w:p w:rsidR="00622456" w:rsidRPr="00C2146E" w:rsidRDefault="00622456" w:rsidP="00AA513C">
            <w:pPr>
              <w:spacing w:after="0"/>
              <w:jc w:val="center"/>
              <w:rPr>
                <w:sz w:val="22"/>
              </w:rPr>
            </w:pPr>
            <w:r w:rsidRPr="00C2146E">
              <w:rPr>
                <w:sz w:val="22"/>
              </w:rPr>
              <w:t>400ms</w:t>
            </w:r>
          </w:p>
        </w:tc>
      </w:tr>
      <w:tr w:rsidR="00622456" w:rsidRPr="00C2146E" w:rsidTr="00AA513C">
        <w:trPr>
          <w:jc w:val="center"/>
        </w:trPr>
        <w:tc>
          <w:tcPr>
            <w:tcW w:w="2943" w:type="dxa"/>
            <w:shd w:val="clear" w:color="auto" w:fill="auto"/>
          </w:tcPr>
          <w:p w:rsidR="00622456" w:rsidRPr="00C2146E" w:rsidRDefault="00622456" w:rsidP="00AA513C">
            <w:pPr>
              <w:spacing w:after="0"/>
              <w:rPr>
                <w:sz w:val="22"/>
              </w:rPr>
            </w:pPr>
            <w:r w:rsidRPr="00C2146E">
              <w:rPr>
                <w:sz w:val="22"/>
              </w:rPr>
              <w:t>Propagation conditions</w:t>
            </w:r>
          </w:p>
        </w:tc>
        <w:tc>
          <w:tcPr>
            <w:tcW w:w="2268" w:type="dxa"/>
            <w:gridSpan w:val="2"/>
            <w:shd w:val="clear" w:color="auto" w:fill="auto"/>
          </w:tcPr>
          <w:p w:rsidR="00622456" w:rsidRPr="00C2146E" w:rsidRDefault="00622456" w:rsidP="00AA513C">
            <w:pPr>
              <w:spacing w:after="0"/>
              <w:jc w:val="center"/>
              <w:rPr>
                <w:sz w:val="22"/>
              </w:rPr>
            </w:pPr>
            <w:r>
              <w:rPr>
                <w:sz w:val="22"/>
              </w:rPr>
              <w:t>AWGN, EPA-1Hz, EPA-5</w:t>
            </w:r>
            <w:r w:rsidRPr="00C2146E">
              <w:rPr>
                <w:sz w:val="22"/>
              </w:rPr>
              <w:t>Hz, ETU-1Hz</w:t>
            </w:r>
            <w:r>
              <w:rPr>
                <w:sz w:val="22"/>
              </w:rPr>
              <w:t>, ETU-30Hz</w:t>
            </w:r>
          </w:p>
        </w:tc>
      </w:tr>
      <w:tr w:rsidR="00622456" w:rsidRPr="00C2146E" w:rsidTr="00AA513C">
        <w:trPr>
          <w:jc w:val="center"/>
        </w:trPr>
        <w:tc>
          <w:tcPr>
            <w:tcW w:w="2943" w:type="dxa"/>
            <w:shd w:val="clear" w:color="auto" w:fill="auto"/>
          </w:tcPr>
          <w:p w:rsidR="00622456" w:rsidRPr="00C2146E" w:rsidRDefault="00622456" w:rsidP="00AA513C">
            <w:pPr>
              <w:spacing w:after="0"/>
              <w:rPr>
                <w:sz w:val="22"/>
              </w:rPr>
            </w:pPr>
            <w:r w:rsidRPr="00C2146E">
              <w:rPr>
                <w:sz w:val="22"/>
              </w:rPr>
              <w:t>Receiver</w:t>
            </w:r>
          </w:p>
        </w:tc>
        <w:tc>
          <w:tcPr>
            <w:tcW w:w="2268" w:type="dxa"/>
            <w:gridSpan w:val="2"/>
            <w:shd w:val="clear" w:color="auto" w:fill="auto"/>
          </w:tcPr>
          <w:p w:rsidR="00622456" w:rsidRPr="00C2146E" w:rsidRDefault="00622456" w:rsidP="00AA513C">
            <w:pPr>
              <w:spacing w:after="0"/>
              <w:jc w:val="center"/>
              <w:rPr>
                <w:sz w:val="22"/>
              </w:rPr>
            </w:pPr>
            <w:r w:rsidRPr="00C2146E">
              <w:rPr>
                <w:sz w:val="22"/>
              </w:rPr>
              <w:t>Ideal receiver</w:t>
            </w:r>
          </w:p>
        </w:tc>
      </w:tr>
      <w:tr w:rsidR="00622456" w:rsidRPr="00C2146E" w:rsidTr="00AA513C">
        <w:trPr>
          <w:jc w:val="center"/>
        </w:trPr>
        <w:tc>
          <w:tcPr>
            <w:tcW w:w="2943" w:type="dxa"/>
            <w:shd w:val="clear" w:color="auto" w:fill="auto"/>
          </w:tcPr>
          <w:p w:rsidR="00622456" w:rsidRPr="00C2146E" w:rsidRDefault="00622456" w:rsidP="00AA513C">
            <w:pPr>
              <w:spacing w:after="0"/>
              <w:rPr>
                <w:sz w:val="22"/>
              </w:rPr>
            </w:pPr>
            <w:r w:rsidRPr="00C2146E">
              <w:rPr>
                <w:sz w:val="22"/>
              </w:rPr>
              <w:t>Rx antennas</w:t>
            </w:r>
          </w:p>
        </w:tc>
        <w:tc>
          <w:tcPr>
            <w:tcW w:w="1134" w:type="dxa"/>
            <w:shd w:val="clear" w:color="auto" w:fill="auto"/>
          </w:tcPr>
          <w:p w:rsidR="00622456" w:rsidRPr="00C2146E" w:rsidRDefault="00622456" w:rsidP="00AA513C">
            <w:pPr>
              <w:spacing w:after="0"/>
              <w:rPr>
                <w:sz w:val="22"/>
              </w:rPr>
            </w:pPr>
            <w:r w:rsidRPr="00C2146E">
              <w:rPr>
                <w:sz w:val="22"/>
              </w:rPr>
              <w:t>1</w:t>
            </w:r>
          </w:p>
        </w:tc>
        <w:tc>
          <w:tcPr>
            <w:tcW w:w="1134" w:type="dxa"/>
            <w:shd w:val="clear" w:color="auto" w:fill="auto"/>
          </w:tcPr>
          <w:p w:rsidR="00622456" w:rsidRPr="00C2146E" w:rsidRDefault="00622456" w:rsidP="00AA513C">
            <w:pPr>
              <w:spacing w:after="0"/>
              <w:rPr>
                <w:sz w:val="22"/>
              </w:rPr>
            </w:pPr>
            <w:r w:rsidRPr="00C2146E">
              <w:rPr>
                <w:sz w:val="22"/>
              </w:rPr>
              <w:t>2</w:t>
            </w:r>
          </w:p>
        </w:tc>
      </w:tr>
      <w:tr w:rsidR="00622456" w:rsidRPr="00C2146E" w:rsidTr="00AA513C">
        <w:trPr>
          <w:jc w:val="center"/>
        </w:trPr>
        <w:tc>
          <w:tcPr>
            <w:tcW w:w="2943" w:type="dxa"/>
            <w:shd w:val="clear" w:color="auto" w:fill="auto"/>
          </w:tcPr>
          <w:p w:rsidR="00622456" w:rsidRPr="00C2146E" w:rsidRDefault="00622456" w:rsidP="00AA513C">
            <w:pPr>
              <w:spacing w:after="0"/>
              <w:rPr>
                <w:sz w:val="22"/>
              </w:rPr>
            </w:pPr>
            <w:r w:rsidRPr="00C2146E">
              <w:rPr>
                <w:sz w:val="22"/>
              </w:rPr>
              <w:t>Coherent average size</w:t>
            </w:r>
          </w:p>
        </w:tc>
        <w:tc>
          <w:tcPr>
            <w:tcW w:w="1134" w:type="dxa"/>
            <w:shd w:val="clear" w:color="auto" w:fill="auto"/>
          </w:tcPr>
          <w:p w:rsidR="00622456" w:rsidRPr="00C2146E" w:rsidRDefault="00622456" w:rsidP="00AA513C">
            <w:pPr>
              <w:spacing w:after="0"/>
              <w:rPr>
                <w:sz w:val="22"/>
              </w:rPr>
            </w:pPr>
            <w:r w:rsidRPr="00C2146E">
              <w:rPr>
                <w:sz w:val="22"/>
              </w:rPr>
              <w:t>96</w:t>
            </w:r>
          </w:p>
        </w:tc>
        <w:tc>
          <w:tcPr>
            <w:tcW w:w="1134" w:type="dxa"/>
            <w:shd w:val="clear" w:color="auto" w:fill="auto"/>
          </w:tcPr>
          <w:p w:rsidR="00622456" w:rsidRPr="00C2146E" w:rsidRDefault="00622456" w:rsidP="00AA513C">
            <w:pPr>
              <w:spacing w:after="0"/>
              <w:rPr>
                <w:sz w:val="22"/>
              </w:rPr>
            </w:pPr>
            <w:r w:rsidRPr="00C2146E">
              <w:rPr>
                <w:sz w:val="22"/>
              </w:rPr>
              <w:t>96</w:t>
            </w:r>
          </w:p>
        </w:tc>
      </w:tr>
      <w:tr w:rsidR="00622456" w:rsidRPr="00C2146E" w:rsidTr="00AA513C">
        <w:trPr>
          <w:jc w:val="center"/>
        </w:trPr>
        <w:tc>
          <w:tcPr>
            <w:tcW w:w="2943" w:type="dxa"/>
            <w:shd w:val="clear" w:color="auto" w:fill="auto"/>
          </w:tcPr>
          <w:p w:rsidR="00622456" w:rsidRPr="00C2146E" w:rsidRDefault="00622456" w:rsidP="00AA513C">
            <w:pPr>
              <w:spacing w:after="0"/>
              <w:rPr>
                <w:sz w:val="22"/>
              </w:rPr>
            </w:pPr>
            <w:r w:rsidRPr="00C2146E">
              <w:rPr>
                <w:sz w:val="22"/>
              </w:rPr>
              <w:t>Number of coherent averages per measurement period</w:t>
            </w:r>
          </w:p>
        </w:tc>
        <w:tc>
          <w:tcPr>
            <w:tcW w:w="1134" w:type="dxa"/>
            <w:shd w:val="clear" w:color="auto" w:fill="auto"/>
          </w:tcPr>
          <w:p w:rsidR="00622456" w:rsidRPr="00C2146E" w:rsidRDefault="00622456" w:rsidP="00AA513C">
            <w:pPr>
              <w:rPr>
                <w:sz w:val="22"/>
              </w:rPr>
            </w:pPr>
            <w:r w:rsidRPr="00C2146E">
              <w:rPr>
                <w:sz w:val="22"/>
              </w:rPr>
              <w:t>10</w:t>
            </w:r>
          </w:p>
        </w:tc>
        <w:tc>
          <w:tcPr>
            <w:tcW w:w="1134" w:type="dxa"/>
            <w:shd w:val="clear" w:color="auto" w:fill="auto"/>
          </w:tcPr>
          <w:p w:rsidR="00622456" w:rsidRPr="00C2146E" w:rsidRDefault="00622456" w:rsidP="00AA513C">
            <w:pPr>
              <w:rPr>
                <w:sz w:val="22"/>
              </w:rPr>
            </w:pPr>
            <w:r w:rsidRPr="00C2146E">
              <w:rPr>
                <w:sz w:val="22"/>
              </w:rPr>
              <w:t>10</w:t>
            </w:r>
          </w:p>
        </w:tc>
      </w:tr>
      <w:tr w:rsidR="00622456" w:rsidRPr="00C2146E" w:rsidTr="00AA513C">
        <w:trPr>
          <w:jc w:val="center"/>
        </w:trPr>
        <w:tc>
          <w:tcPr>
            <w:tcW w:w="2943" w:type="dxa"/>
            <w:shd w:val="clear" w:color="auto" w:fill="auto"/>
          </w:tcPr>
          <w:p w:rsidR="00622456" w:rsidRPr="00C2146E" w:rsidRDefault="00622456" w:rsidP="00AA513C">
            <w:pPr>
              <w:spacing w:after="0"/>
              <w:rPr>
                <w:sz w:val="22"/>
              </w:rPr>
            </w:pPr>
            <w:r w:rsidRPr="00C2146E">
              <w:rPr>
                <w:sz w:val="22"/>
              </w:rPr>
              <w:t>Total number of CRSs used over a measurement period</w:t>
            </w:r>
          </w:p>
        </w:tc>
        <w:tc>
          <w:tcPr>
            <w:tcW w:w="2268" w:type="dxa"/>
            <w:gridSpan w:val="2"/>
            <w:shd w:val="clear" w:color="auto" w:fill="auto"/>
          </w:tcPr>
          <w:p w:rsidR="00622456" w:rsidRPr="00C2146E" w:rsidRDefault="00622456" w:rsidP="00AA513C">
            <w:pPr>
              <w:jc w:val="center"/>
              <w:rPr>
                <w:sz w:val="22"/>
              </w:rPr>
            </w:pPr>
            <w:r w:rsidRPr="00C2146E">
              <w:rPr>
                <w:sz w:val="22"/>
              </w:rPr>
              <w:t>960</w:t>
            </w:r>
          </w:p>
        </w:tc>
      </w:tr>
    </w:tbl>
    <w:p w:rsidR="00622456" w:rsidRPr="0056495E" w:rsidRDefault="00622456" w:rsidP="00622456">
      <w:pPr>
        <w:jc w:val="both"/>
        <w:rPr>
          <w:sz w:val="22"/>
          <w:szCs w:val="22"/>
          <w:lang w:val="en-US" w:eastAsia="ja-JP"/>
        </w:rPr>
      </w:pPr>
    </w:p>
    <w:p w:rsidR="00622456" w:rsidRDefault="00622456" w:rsidP="00622456">
      <w:pPr>
        <w:keepNext/>
        <w:rPr>
          <w:noProof/>
          <w:lang w:val="sv-SE" w:eastAsia="zh-CN"/>
        </w:rPr>
      </w:pPr>
      <w:r w:rsidRPr="0081565C">
        <w:rPr>
          <w:noProof/>
          <w:lang w:val="sv-SE" w:eastAsia="zh-CN"/>
        </w:rPr>
        <w:drawing>
          <wp:inline distT="0" distB="0" distL="0" distR="0" wp14:anchorId="0A3B8EFF" wp14:editId="29E983C9">
            <wp:extent cx="2676525" cy="2000250"/>
            <wp:effectExtent l="0" t="0" r="9525"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76525" cy="2000250"/>
                    </a:xfrm>
                    <a:prstGeom prst="rect">
                      <a:avLst/>
                    </a:prstGeom>
                    <a:noFill/>
                    <a:ln>
                      <a:noFill/>
                    </a:ln>
                  </pic:spPr>
                </pic:pic>
              </a:graphicData>
            </a:graphic>
          </wp:inline>
        </w:drawing>
      </w:r>
      <w:r w:rsidRPr="0081565C">
        <w:rPr>
          <w:noProof/>
          <w:lang w:val="sv-SE" w:eastAsia="zh-CN"/>
        </w:rPr>
        <w:drawing>
          <wp:inline distT="0" distB="0" distL="0" distR="0" wp14:anchorId="7E7183DE" wp14:editId="63DCD149">
            <wp:extent cx="2676525" cy="2000250"/>
            <wp:effectExtent l="0" t="0" r="9525"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76525" cy="2000250"/>
                    </a:xfrm>
                    <a:prstGeom prst="rect">
                      <a:avLst/>
                    </a:prstGeom>
                    <a:noFill/>
                    <a:ln>
                      <a:noFill/>
                    </a:ln>
                  </pic:spPr>
                </pic:pic>
              </a:graphicData>
            </a:graphic>
          </wp:inline>
        </w:drawing>
      </w:r>
    </w:p>
    <w:p w:rsidR="00622456" w:rsidRDefault="00622456" w:rsidP="00622456">
      <w:pPr>
        <w:keepNext/>
      </w:pPr>
      <w:r w:rsidRPr="0081565C">
        <w:rPr>
          <w:noProof/>
          <w:lang w:val="sv-SE" w:eastAsia="zh-CN"/>
        </w:rPr>
        <w:drawing>
          <wp:inline distT="0" distB="0" distL="0" distR="0" wp14:anchorId="2955BE41" wp14:editId="59708A32">
            <wp:extent cx="2676525" cy="2000250"/>
            <wp:effectExtent l="0" t="0" r="9525"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76525" cy="2000250"/>
                    </a:xfrm>
                    <a:prstGeom prst="rect">
                      <a:avLst/>
                    </a:prstGeom>
                    <a:noFill/>
                    <a:ln>
                      <a:noFill/>
                    </a:ln>
                  </pic:spPr>
                </pic:pic>
              </a:graphicData>
            </a:graphic>
          </wp:inline>
        </w:drawing>
      </w:r>
      <w:r w:rsidRPr="0081565C">
        <w:rPr>
          <w:noProof/>
          <w:lang w:val="sv-SE" w:eastAsia="zh-CN"/>
        </w:rPr>
        <w:drawing>
          <wp:inline distT="0" distB="0" distL="0" distR="0" wp14:anchorId="4D727E0C" wp14:editId="3C5A830D">
            <wp:extent cx="2676525" cy="200025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76525" cy="2000250"/>
                    </a:xfrm>
                    <a:prstGeom prst="rect">
                      <a:avLst/>
                    </a:prstGeom>
                    <a:noFill/>
                    <a:ln>
                      <a:noFill/>
                    </a:ln>
                  </pic:spPr>
                </pic:pic>
              </a:graphicData>
            </a:graphic>
          </wp:inline>
        </w:drawing>
      </w:r>
    </w:p>
    <w:p w:rsidR="00622456" w:rsidRDefault="00622456" w:rsidP="00622456">
      <w:pPr>
        <w:pStyle w:val="Caption"/>
        <w:rPr>
          <w:b w:val="0"/>
          <w:sz w:val="22"/>
          <w:lang w:val="en-US"/>
        </w:rPr>
      </w:pPr>
      <w:bookmarkStart w:id="6" w:name="_Ref416339132"/>
      <w:r w:rsidRPr="00D34A9C">
        <w:rPr>
          <w:sz w:val="22"/>
          <w:lang w:val="en-US"/>
        </w:rPr>
        <w:t xml:space="preserve">Figure </w:t>
      </w:r>
      <w:r w:rsidRPr="00D34A9C">
        <w:rPr>
          <w:sz w:val="22"/>
        </w:rPr>
        <w:fldChar w:fldCharType="begin"/>
      </w:r>
      <w:r w:rsidRPr="00D34A9C">
        <w:rPr>
          <w:sz w:val="22"/>
          <w:lang w:val="en-US"/>
        </w:rPr>
        <w:instrText xml:space="preserve"> SEQ Figure \* ARABIC </w:instrText>
      </w:r>
      <w:r w:rsidRPr="00D34A9C">
        <w:rPr>
          <w:sz w:val="22"/>
        </w:rPr>
        <w:fldChar w:fldCharType="separate"/>
      </w:r>
      <w:r>
        <w:rPr>
          <w:noProof/>
          <w:sz w:val="22"/>
          <w:lang w:val="en-US"/>
        </w:rPr>
        <w:t>2</w:t>
      </w:r>
      <w:r w:rsidRPr="00D34A9C">
        <w:rPr>
          <w:sz w:val="22"/>
        </w:rPr>
        <w:fldChar w:fldCharType="end"/>
      </w:r>
      <w:bookmarkEnd w:id="6"/>
      <w:r w:rsidRPr="00D34A9C">
        <w:rPr>
          <w:sz w:val="22"/>
          <w:lang w:val="en-US"/>
        </w:rPr>
        <w:t xml:space="preserve">: </w:t>
      </w:r>
      <w:r w:rsidRPr="00D34A9C">
        <w:rPr>
          <w:b w:val="0"/>
          <w:sz w:val="22"/>
          <w:lang w:val="en-US"/>
        </w:rPr>
        <w:t xml:space="preserve">RSRP </w:t>
      </w:r>
      <w:r>
        <w:rPr>
          <w:b w:val="0"/>
          <w:sz w:val="22"/>
          <w:lang w:val="en-US"/>
        </w:rPr>
        <w:t xml:space="preserve">and RSRQ </w:t>
      </w:r>
      <w:r w:rsidRPr="00D34A9C">
        <w:rPr>
          <w:b w:val="0"/>
          <w:sz w:val="22"/>
          <w:lang w:val="en-US"/>
        </w:rPr>
        <w:t>simulation results for AWGN using (left) 1Rx and (right) 2Rx antennas. Coherent averaging over 96 CRSs, and non-coherent averaging over 10 coherent average values. Indicated requirements</w:t>
      </w:r>
      <w:r>
        <w:rPr>
          <w:b w:val="0"/>
          <w:sz w:val="22"/>
          <w:lang w:val="en-US"/>
        </w:rPr>
        <w:t xml:space="preserve"> are for absolute RSRP accuracy down to SINR -6dB.</w:t>
      </w:r>
    </w:p>
    <w:p w:rsidR="00622456" w:rsidRDefault="00622456" w:rsidP="00622456">
      <w:pPr>
        <w:rPr>
          <w:lang w:val="en-US" w:eastAsia="ja-JP"/>
        </w:rPr>
      </w:pPr>
    </w:p>
    <w:p w:rsidR="00622456" w:rsidRPr="0081565C" w:rsidRDefault="00622456" w:rsidP="00622456">
      <w:pPr>
        <w:rPr>
          <w:lang w:val="en-US" w:eastAsia="ja-JP"/>
        </w:rPr>
      </w:pPr>
    </w:p>
    <w:p w:rsidR="00622456" w:rsidRDefault="00622456" w:rsidP="00622456">
      <w:pPr>
        <w:rPr>
          <w:lang w:val="en-US" w:eastAsia="ja-JP"/>
        </w:rPr>
      </w:pPr>
    </w:p>
    <w:p w:rsidR="00622456" w:rsidRDefault="00622456" w:rsidP="00622456">
      <w:pPr>
        <w:rPr>
          <w:lang w:val="en-US" w:eastAsia="ja-JP"/>
        </w:rPr>
      </w:pPr>
    </w:p>
    <w:p w:rsidR="00622456" w:rsidRPr="00D60C4C" w:rsidRDefault="00622456" w:rsidP="00622456">
      <w:pPr>
        <w:keepNext/>
        <w:rPr>
          <w:noProof/>
          <w:lang w:val="sv-SE" w:eastAsia="zh-CN"/>
        </w:rPr>
      </w:pPr>
      <w:r w:rsidRPr="0081565C">
        <w:rPr>
          <w:noProof/>
          <w:lang w:val="sv-SE" w:eastAsia="zh-CN"/>
        </w:rPr>
        <w:lastRenderedPageBreak/>
        <w:drawing>
          <wp:inline distT="0" distB="0" distL="0" distR="0" wp14:anchorId="77626AC0" wp14:editId="15A65092">
            <wp:extent cx="2676525" cy="200025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76525" cy="2000250"/>
                    </a:xfrm>
                    <a:prstGeom prst="rect">
                      <a:avLst/>
                    </a:prstGeom>
                    <a:noFill/>
                    <a:ln>
                      <a:noFill/>
                    </a:ln>
                  </pic:spPr>
                </pic:pic>
              </a:graphicData>
            </a:graphic>
          </wp:inline>
        </w:drawing>
      </w:r>
      <w:r w:rsidRPr="0081565C">
        <w:rPr>
          <w:noProof/>
          <w:lang w:val="sv-SE" w:eastAsia="zh-CN"/>
        </w:rPr>
        <w:drawing>
          <wp:inline distT="0" distB="0" distL="0" distR="0" wp14:anchorId="286DBE97" wp14:editId="1535809F">
            <wp:extent cx="2676525" cy="200025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76525" cy="2000250"/>
                    </a:xfrm>
                    <a:prstGeom prst="rect">
                      <a:avLst/>
                    </a:prstGeom>
                    <a:noFill/>
                    <a:ln>
                      <a:noFill/>
                    </a:ln>
                  </pic:spPr>
                </pic:pic>
              </a:graphicData>
            </a:graphic>
          </wp:inline>
        </w:drawing>
      </w:r>
      <w:r w:rsidRPr="0081565C">
        <w:rPr>
          <w:noProof/>
          <w:lang w:val="sv-SE" w:eastAsia="zh-CN"/>
        </w:rPr>
        <w:drawing>
          <wp:inline distT="0" distB="0" distL="0" distR="0" wp14:anchorId="40941E77" wp14:editId="0D6198BF">
            <wp:extent cx="2676525" cy="20002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76525" cy="2000250"/>
                    </a:xfrm>
                    <a:prstGeom prst="rect">
                      <a:avLst/>
                    </a:prstGeom>
                    <a:noFill/>
                    <a:ln>
                      <a:noFill/>
                    </a:ln>
                  </pic:spPr>
                </pic:pic>
              </a:graphicData>
            </a:graphic>
          </wp:inline>
        </w:drawing>
      </w:r>
      <w:r w:rsidRPr="0081565C">
        <w:rPr>
          <w:noProof/>
          <w:lang w:val="sv-SE" w:eastAsia="zh-CN"/>
        </w:rPr>
        <w:drawing>
          <wp:inline distT="0" distB="0" distL="0" distR="0" wp14:anchorId="742D7EDF" wp14:editId="106926A7">
            <wp:extent cx="2676525" cy="20002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76525" cy="2000250"/>
                    </a:xfrm>
                    <a:prstGeom prst="rect">
                      <a:avLst/>
                    </a:prstGeom>
                    <a:noFill/>
                    <a:ln>
                      <a:noFill/>
                    </a:ln>
                  </pic:spPr>
                </pic:pic>
              </a:graphicData>
            </a:graphic>
          </wp:inline>
        </w:drawing>
      </w:r>
    </w:p>
    <w:p w:rsidR="00622456" w:rsidRDefault="00622456" w:rsidP="00622456">
      <w:pPr>
        <w:pStyle w:val="Caption"/>
        <w:rPr>
          <w:b w:val="0"/>
          <w:sz w:val="22"/>
          <w:lang w:val="en-US"/>
        </w:rPr>
      </w:pPr>
      <w:r w:rsidRPr="00D34A9C">
        <w:rPr>
          <w:sz w:val="22"/>
          <w:lang w:val="en-US"/>
        </w:rPr>
        <w:t xml:space="preserve">Figure </w:t>
      </w:r>
      <w:r w:rsidRPr="00D34A9C">
        <w:rPr>
          <w:sz w:val="22"/>
        </w:rPr>
        <w:fldChar w:fldCharType="begin"/>
      </w:r>
      <w:r w:rsidRPr="00D34A9C">
        <w:rPr>
          <w:sz w:val="22"/>
          <w:lang w:val="en-US"/>
        </w:rPr>
        <w:instrText xml:space="preserve"> SEQ Figure \* ARABIC </w:instrText>
      </w:r>
      <w:r w:rsidRPr="00D34A9C">
        <w:rPr>
          <w:sz w:val="22"/>
        </w:rPr>
        <w:fldChar w:fldCharType="separate"/>
      </w:r>
      <w:r>
        <w:rPr>
          <w:noProof/>
          <w:sz w:val="22"/>
          <w:lang w:val="en-US"/>
        </w:rPr>
        <w:t>3</w:t>
      </w:r>
      <w:r w:rsidRPr="00D34A9C">
        <w:rPr>
          <w:sz w:val="22"/>
        </w:rPr>
        <w:fldChar w:fldCharType="end"/>
      </w:r>
      <w:r w:rsidRPr="00D34A9C">
        <w:rPr>
          <w:sz w:val="22"/>
          <w:lang w:val="en-US"/>
        </w:rPr>
        <w:t>:</w:t>
      </w:r>
      <w:r w:rsidRPr="00D34A9C">
        <w:rPr>
          <w:b w:val="0"/>
          <w:sz w:val="22"/>
          <w:lang w:val="en-US"/>
        </w:rPr>
        <w:t xml:space="preserve"> RSRP </w:t>
      </w:r>
      <w:r>
        <w:rPr>
          <w:b w:val="0"/>
          <w:sz w:val="22"/>
          <w:lang w:val="en-US"/>
        </w:rPr>
        <w:t xml:space="preserve">and RSRQ </w:t>
      </w:r>
      <w:r w:rsidRPr="00D34A9C">
        <w:rPr>
          <w:b w:val="0"/>
          <w:sz w:val="22"/>
          <w:lang w:val="en-US"/>
        </w:rPr>
        <w:t>simulation results for EPA 1Hz using (left) 1Rx and (right) 2Rx antennas. Coherent averaging over 96 CRSs, and non-coherent averaging over 10 coherent average values. Note: requirements ap</w:t>
      </w:r>
      <w:r>
        <w:rPr>
          <w:b w:val="0"/>
          <w:sz w:val="22"/>
          <w:lang w:val="en-US"/>
        </w:rPr>
        <w:t xml:space="preserve">ply for AWGN and are shown </w:t>
      </w:r>
      <w:r w:rsidRPr="00D34A9C">
        <w:rPr>
          <w:b w:val="0"/>
          <w:sz w:val="22"/>
          <w:lang w:val="en-US"/>
        </w:rPr>
        <w:t>for reference</w:t>
      </w:r>
      <w:r>
        <w:rPr>
          <w:b w:val="0"/>
          <w:sz w:val="22"/>
          <w:lang w:val="en-US"/>
        </w:rPr>
        <w:t xml:space="preserve"> only</w:t>
      </w:r>
      <w:r w:rsidRPr="00D34A9C">
        <w:rPr>
          <w:b w:val="0"/>
          <w:sz w:val="22"/>
          <w:lang w:val="en-US"/>
        </w:rPr>
        <w:t>.</w:t>
      </w:r>
    </w:p>
    <w:p w:rsidR="00622456" w:rsidRDefault="00622456" w:rsidP="00622456">
      <w:pPr>
        <w:rPr>
          <w:lang w:val="en-US" w:eastAsia="ja-JP"/>
        </w:rPr>
      </w:pPr>
    </w:p>
    <w:p w:rsidR="00622456" w:rsidRPr="00D60C4C" w:rsidRDefault="00622456" w:rsidP="00622456">
      <w:pPr>
        <w:rPr>
          <w:lang w:val="en-US" w:eastAsia="ja-JP"/>
        </w:rPr>
      </w:pPr>
    </w:p>
    <w:p w:rsidR="00622456" w:rsidRDefault="00622456" w:rsidP="00622456">
      <w:pPr>
        <w:rPr>
          <w:lang w:val="en-US" w:eastAsia="ja-JP"/>
        </w:rPr>
      </w:pPr>
    </w:p>
    <w:p w:rsidR="00622456" w:rsidRDefault="00622456" w:rsidP="00622456">
      <w:pPr>
        <w:keepNext/>
      </w:pPr>
      <w:r w:rsidRPr="00D60C4C">
        <w:rPr>
          <w:noProof/>
          <w:lang w:val="sv-SE" w:eastAsia="zh-CN"/>
        </w:rPr>
        <w:lastRenderedPageBreak/>
        <w:drawing>
          <wp:inline distT="0" distB="0" distL="0" distR="0" wp14:anchorId="2CFC8F0A" wp14:editId="70083936">
            <wp:extent cx="2676525" cy="20002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76525" cy="2000250"/>
                    </a:xfrm>
                    <a:prstGeom prst="rect">
                      <a:avLst/>
                    </a:prstGeom>
                    <a:noFill/>
                    <a:ln>
                      <a:noFill/>
                    </a:ln>
                  </pic:spPr>
                </pic:pic>
              </a:graphicData>
            </a:graphic>
          </wp:inline>
        </w:drawing>
      </w:r>
      <w:r w:rsidRPr="00D60C4C">
        <w:rPr>
          <w:noProof/>
          <w:lang w:val="sv-SE" w:eastAsia="zh-CN"/>
        </w:rPr>
        <w:drawing>
          <wp:inline distT="0" distB="0" distL="0" distR="0" wp14:anchorId="0687D0DF" wp14:editId="23649F0E">
            <wp:extent cx="2676525" cy="20002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76525" cy="2000250"/>
                    </a:xfrm>
                    <a:prstGeom prst="rect">
                      <a:avLst/>
                    </a:prstGeom>
                    <a:noFill/>
                    <a:ln>
                      <a:noFill/>
                    </a:ln>
                  </pic:spPr>
                </pic:pic>
              </a:graphicData>
            </a:graphic>
          </wp:inline>
        </w:drawing>
      </w:r>
      <w:r w:rsidRPr="00D60C4C">
        <w:rPr>
          <w:noProof/>
          <w:lang w:val="sv-SE" w:eastAsia="zh-CN"/>
        </w:rPr>
        <w:drawing>
          <wp:inline distT="0" distB="0" distL="0" distR="0" wp14:anchorId="66369DB9" wp14:editId="584DA08A">
            <wp:extent cx="2676525" cy="200025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76525" cy="2000250"/>
                    </a:xfrm>
                    <a:prstGeom prst="rect">
                      <a:avLst/>
                    </a:prstGeom>
                    <a:noFill/>
                    <a:ln>
                      <a:noFill/>
                    </a:ln>
                  </pic:spPr>
                </pic:pic>
              </a:graphicData>
            </a:graphic>
          </wp:inline>
        </w:drawing>
      </w:r>
      <w:r w:rsidRPr="00D60C4C">
        <w:rPr>
          <w:noProof/>
          <w:lang w:val="sv-SE" w:eastAsia="zh-CN"/>
        </w:rPr>
        <w:drawing>
          <wp:inline distT="0" distB="0" distL="0" distR="0" wp14:anchorId="3514C246" wp14:editId="786DBFBB">
            <wp:extent cx="2676525" cy="20002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76525" cy="2000250"/>
                    </a:xfrm>
                    <a:prstGeom prst="rect">
                      <a:avLst/>
                    </a:prstGeom>
                    <a:noFill/>
                    <a:ln>
                      <a:noFill/>
                    </a:ln>
                  </pic:spPr>
                </pic:pic>
              </a:graphicData>
            </a:graphic>
          </wp:inline>
        </w:drawing>
      </w:r>
    </w:p>
    <w:p w:rsidR="00622456" w:rsidRDefault="00622456" w:rsidP="00622456">
      <w:pPr>
        <w:pStyle w:val="Caption"/>
        <w:rPr>
          <w:b w:val="0"/>
          <w:sz w:val="22"/>
          <w:lang w:val="en-US"/>
        </w:rPr>
      </w:pPr>
      <w:bookmarkStart w:id="7" w:name="_Ref416339135"/>
      <w:r w:rsidRPr="00D34A9C">
        <w:rPr>
          <w:sz w:val="22"/>
          <w:lang w:val="en-US"/>
        </w:rPr>
        <w:t xml:space="preserve">Figure </w:t>
      </w:r>
      <w:r w:rsidRPr="00D34A9C">
        <w:rPr>
          <w:sz w:val="22"/>
        </w:rPr>
        <w:fldChar w:fldCharType="begin"/>
      </w:r>
      <w:r w:rsidRPr="00D34A9C">
        <w:rPr>
          <w:sz w:val="22"/>
          <w:lang w:val="en-US"/>
        </w:rPr>
        <w:instrText xml:space="preserve"> SEQ Figure \* ARABIC </w:instrText>
      </w:r>
      <w:r w:rsidRPr="00D34A9C">
        <w:rPr>
          <w:sz w:val="22"/>
        </w:rPr>
        <w:fldChar w:fldCharType="separate"/>
      </w:r>
      <w:r>
        <w:rPr>
          <w:noProof/>
          <w:sz w:val="22"/>
          <w:lang w:val="en-US"/>
        </w:rPr>
        <w:t>4</w:t>
      </w:r>
      <w:r w:rsidRPr="00D34A9C">
        <w:rPr>
          <w:sz w:val="22"/>
        </w:rPr>
        <w:fldChar w:fldCharType="end"/>
      </w:r>
      <w:bookmarkEnd w:id="7"/>
      <w:r w:rsidRPr="00D34A9C">
        <w:rPr>
          <w:sz w:val="22"/>
          <w:lang w:val="en-US"/>
        </w:rPr>
        <w:t>:</w:t>
      </w:r>
      <w:r w:rsidRPr="00D34A9C">
        <w:rPr>
          <w:b w:val="0"/>
          <w:sz w:val="22"/>
          <w:lang w:val="en-US"/>
        </w:rPr>
        <w:t xml:space="preserve"> RSRP </w:t>
      </w:r>
      <w:r>
        <w:rPr>
          <w:b w:val="0"/>
          <w:sz w:val="22"/>
          <w:lang w:val="en-US"/>
        </w:rPr>
        <w:t xml:space="preserve">and RSRQ </w:t>
      </w:r>
      <w:r w:rsidRPr="00D34A9C">
        <w:rPr>
          <w:b w:val="0"/>
          <w:sz w:val="22"/>
          <w:lang w:val="en-US"/>
        </w:rPr>
        <w:t>simulation results for ETU 1Hz using (left) 1Rx and (right) 2Rx antennas. Coherent averaging over 96 CRSs, and non-coherent averaging over 10 coherent average values. Note: requirements ap</w:t>
      </w:r>
      <w:r>
        <w:rPr>
          <w:b w:val="0"/>
          <w:sz w:val="22"/>
          <w:lang w:val="en-US"/>
        </w:rPr>
        <w:t xml:space="preserve">ply for AWGN and are shown </w:t>
      </w:r>
      <w:r w:rsidRPr="00D34A9C">
        <w:rPr>
          <w:b w:val="0"/>
          <w:sz w:val="22"/>
          <w:lang w:val="en-US"/>
        </w:rPr>
        <w:t>for reference</w:t>
      </w:r>
      <w:r>
        <w:rPr>
          <w:b w:val="0"/>
          <w:sz w:val="22"/>
          <w:lang w:val="en-US"/>
        </w:rPr>
        <w:t xml:space="preserve"> only</w:t>
      </w:r>
      <w:r w:rsidRPr="00D34A9C">
        <w:rPr>
          <w:b w:val="0"/>
          <w:sz w:val="22"/>
          <w:lang w:val="en-US"/>
        </w:rPr>
        <w:t>.</w:t>
      </w:r>
    </w:p>
    <w:p w:rsidR="00622456" w:rsidRPr="00006201" w:rsidRDefault="00622456" w:rsidP="00622456">
      <w:pPr>
        <w:rPr>
          <w:lang w:val="en-US" w:eastAsia="ja-JP"/>
        </w:rPr>
      </w:pPr>
    </w:p>
    <w:p w:rsidR="00622456" w:rsidRDefault="00622456" w:rsidP="00622456">
      <w:pPr>
        <w:pStyle w:val="Caption"/>
        <w:rPr>
          <w:lang w:val="en-US"/>
        </w:rPr>
      </w:pPr>
    </w:p>
    <w:p w:rsidR="00622456" w:rsidRPr="00D60C4C" w:rsidRDefault="00622456" w:rsidP="00622456">
      <w:pPr>
        <w:pStyle w:val="Caption"/>
        <w:rPr>
          <w:lang w:eastAsia="zh-CN"/>
        </w:rPr>
      </w:pPr>
      <w:r w:rsidRPr="002C11B5">
        <w:rPr>
          <w:noProof/>
          <w:lang w:eastAsia="zh-CN"/>
        </w:rPr>
        <w:drawing>
          <wp:inline distT="0" distB="0" distL="0" distR="0" wp14:anchorId="25617401" wp14:editId="26AC02A3">
            <wp:extent cx="2667000" cy="20002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67000" cy="2000250"/>
                    </a:xfrm>
                    <a:prstGeom prst="rect">
                      <a:avLst/>
                    </a:prstGeom>
                    <a:noFill/>
                    <a:ln>
                      <a:noFill/>
                    </a:ln>
                  </pic:spPr>
                </pic:pic>
              </a:graphicData>
            </a:graphic>
          </wp:inline>
        </w:drawing>
      </w:r>
      <w:r w:rsidRPr="00D60C4C">
        <w:rPr>
          <w:noProof/>
          <w:lang w:eastAsia="zh-CN"/>
        </w:rPr>
        <w:drawing>
          <wp:inline distT="0" distB="0" distL="0" distR="0" wp14:anchorId="2FEDEA80" wp14:editId="554A0EAF">
            <wp:extent cx="2667000" cy="20002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67000" cy="2000250"/>
                    </a:xfrm>
                    <a:prstGeom prst="rect">
                      <a:avLst/>
                    </a:prstGeom>
                    <a:noFill/>
                    <a:ln>
                      <a:noFill/>
                    </a:ln>
                  </pic:spPr>
                </pic:pic>
              </a:graphicData>
            </a:graphic>
          </wp:inline>
        </w:drawing>
      </w:r>
      <w:r w:rsidRPr="00D60C4C">
        <w:rPr>
          <w:noProof/>
          <w:lang w:eastAsia="zh-CN"/>
        </w:rPr>
        <w:drawing>
          <wp:inline distT="0" distB="0" distL="0" distR="0" wp14:anchorId="152235C8" wp14:editId="5C75E3D7">
            <wp:extent cx="2667000" cy="20002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67000" cy="2000250"/>
                    </a:xfrm>
                    <a:prstGeom prst="rect">
                      <a:avLst/>
                    </a:prstGeom>
                    <a:noFill/>
                    <a:ln>
                      <a:noFill/>
                    </a:ln>
                  </pic:spPr>
                </pic:pic>
              </a:graphicData>
            </a:graphic>
          </wp:inline>
        </w:drawing>
      </w:r>
      <w:r w:rsidRPr="00D60C4C">
        <w:rPr>
          <w:noProof/>
          <w:lang w:eastAsia="zh-CN"/>
        </w:rPr>
        <w:drawing>
          <wp:inline distT="0" distB="0" distL="0" distR="0" wp14:anchorId="31B29310" wp14:editId="2AC08C21">
            <wp:extent cx="2667000" cy="20002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67000" cy="2000250"/>
                    </a:xfrm>
                    <a:prstGeom prst="rect">
                      <a:avLst/>
                    </a:prstGeom>
                    <a:noFill/>
                    <a:ln>
                      <a:noFill/>
                    </a:ln>
                  </pic:spPr>
                </pic:pic>
              </a:graphicData>
            </a:graphic>
          </wp:inline>
        </w:drawing>
      </w:r>
    </w:p>
    <w:p w:rsidR="00622456" w:rsidRDefault="00622456" w:rsidP="00622456">
      <w:pPr>
        <w:pStyle w:val="Caption"/>
        <w:rPr>
          <w:b w:val="0"/>
          <w:sz w:val="22"/>
          <w:lang w:val="en-US"/>
        </w:rPr>
      </w:pPr>
      <w:r w:rsidRPr="00D34A9C">
        <w:rPr>
          <w:sz w:val="22"/>
          <w:lang w:val="en-US"/>
        </w:rPr>
        <w:lastRenderedPageBreak/>
        <w:t xml:space="preserve">Figure </w:t>
      </w:r>
      <w:r w:rsidRPr="00D34A9C">
        <w:rPr>
          <w:sz w:val="22"/>
        </w:rPr>
        <w:fldChar w:fldCharType="begin"/>
      </w:r>
      <w:r w:rsidRPr="00D34A9C">
        <w:rPr>
          <w:sz w:val="22"/>
          <w:lang w:val="en-US"/>
        </w:rPr>
        <w:instrText xml:space="preserve"> SEQ Figure \* ARABIC </w:instrText>
      </w:r>
      <w:r w:rsidRPr="00D34A9C">
        <w:rPr>
          <w:sz w:val="22"/>
        </w:rPr>
        <w:fldChar w:fldCharType="separate"/>
      </w:r>
      <w:r>
        <w:rPr>
          <w:noProof/>
          <w:sz w:val="22"/>
          <w:lang w:val="en-US"/>
        </w:rPr>
        <w:t>5</w:t>
      </w:r>
      <w:r w:rsidRPr="00D34A9C">
        <w:rPr>
          <w:sz w:val="22"/>
        </w:rPr>
        <w:fldChar w:fldCharType="end"/>
      </w:r>
      <w:r w:rsidRPr="00D34A9C">
        <w:rPr>
          <w:sz w:val="22"/>
          <w:lang w:val="en-US"/>
        </w:rPr>
        <w:t>:</w:t>
      </w:r>
      <w:r w:rsidRPr="00D34A9C">
        <w:rPr>
          <w:b w:val="0"/>
          <w:sz w:val="22"/>
          <w:lang w:val="en-US"/>
        </w:rPr>
        <w:t xml:space="preserve"> RSRP </w:t>
      </w:r>
      <w:r>
        <w:rPr>
          <w:b w:val="0"/>
          <w:sz w:val="22"/>
          <w:lang w:val="en-US"/>
        </w:rPr>
        <w:t>and RSRQ simulation results for EPA 5</w:t>
      </w:r>
      <w:r w:rsidRPr="00D34A9C">
        <w:rPr>
          <w:b w:val="0"/>
          <w:sz w:val="22"/>
          <w:lang w:val="en-US"/>
        </w:rPr>
        <w:t>Hz using (left) 1Rx and (right) 2Rx antennas. Coherent averaging over 96 CRSs, and non-coherent averaging over 10 coherent average values. Note: requirements ap</w:t>
      </w:r>
      <w:r>
        <w:rPr>
          <w:b w:val="0"/>
          <w:sz w:val="22"/>
          <w:lang w:val="en-US"/>
        </w:rPr>
        <w:t xml:space="preserve">ply for AWGN and are shown </w:t>
      </w:r>
      <w:r w:rsidRPr="00D34A9C">
        <w:rPr>
          <w:b w:val="0"/>
          <w:sz w:val="22"/>
          <w:lang w:val="en-US"/>
        </w:rPr>
        <w:t>for reference</w:t>
      </w:r>
      <w:r>
        <w:rPr>
          <w:b w:val="0"/>
          <w:sz w:val="22"/>
          <w:lang w:val="en-US"/>
        </w:rPr>
        <w:t xml:space="preserve"> only</w:t>
      </w:r>
      <w:r w:rsidRPr="00D34A9C">
        <w:rPr>
          <w:b w:val="0"/>
          <w:sz w:val="22"/>
          <w:lang w:val="en-US"/>
        </w:rPr>
        <w:t>.</w:t>
      </w:r>
    </w:p>
    <w:p w:rsidR="00622456" w:rsidRDefault="00622456" w:rsidP="00622456">
      <w:pPr>
        <w:rPr>
          <w:lang w:val="en-US" w:eastAsia="ja-JP"/>
        </w:rPr>
      </w:pPr>
    </w:p>
    <w:p w:rsidR="00622456" w:rsidRDefault="00622456" w:rsidP="00622456">
      <w:pPr>
        <w:rPr>
          <w:lang w:val="en-US" w:eastAsia="ja-JP"/>
        </w:rPr>
      </w:pPr>
      <w:r w:rsidRPr="00D60C4C">
        <w:rPr>
          <w:noProof/>
          <w:lang w:val="sv-SE" w:eastAsia="zh-CN"/>
        </w:rPr>
        <w:drawing>
          <wp:inline distT="0" distB="0" distL="0" distR="0" wp14:anchorId="37CC941F" wp14:editId="3E5B43B3">
            <wp:extent cx="2667000" cy="20002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667000" cy="2000250"/>
                    </a:xfrm>
                    <a:prstGeom prst="rect">
                      <a:avLst/>
                    </a:prstGeom>
                    <a:noFill/>
                    <a:ln>
                      <a:noFill/>
                    </a:ln>
                  </pic:spPr>
                </pic:pic>
              </a:graphicData>
            </a:graphic>
          </wp:inline>
        </w:drawing>
      </w:r>
      <w:r w:rsidRPr="00D60C4C">
        <w:rPr>
          <w:noProof/>
          <w:lang w:val="sv-SE" w:eastAsia="zh-CN"/>
        </w:rPr>
        <w:drawing>
          <wp:inline distT="0" distB="0" distL="0" distR="0" wp14:anchorId="4E410D15" wp14:editId="309FBD6A">
            <wp:extent cx="2667000" cy="2000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67000" cy="2000250"/>
                    </a:xfrm>
                    <a:prstGeom prst="rect">
                      <a:avLst/>
                    </a:prstGeom>
                    <a:noFill/>
                    <a:ln>
                      <a:noFill/>
                    </a:ln>
                  </pic:spPr>
                </pic:pic>
              </a:graphicData>
            </a:graphic>
          </wp:inline>
        </w:drawing>
      </w:r>
      <w:r w:rsidRPr="00D60C4C">
        <w:rPr>
          <w:noProof/>
          <w:lang w:val="sv-SE" w:eastAsia="zh-CN"/>
        </w:rPr>
        <w:drawing>
          <wp:inline distT="0" distB="0" distL="0" distR="0" wp14:anchorId="7B325CBA" wp14:editId="561C47E0">
            <wp:extent cx="2667000" cy="2000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67000" cy="2000250"/>
                    </a:xfrm>
                    <a:prstGeom prst="rect">
                      <a:avLst/>
                    </a:prstGeom>
                    <a:noFill/>
                    <a:ln>
                      <a:noFill/>
                    </a:ln>
                  </pic:spPr>
                </pic:pic>
              </a:graphicData>
            </a:graphic>
          </wp:inline>
        </w:drawing>
      </w:r>
      <w:r w:rsidRPr="00D60C4C">
        <w:rPr>
          <w:noProof/>
          <w:lang w:val="sv-SE" w:eastAsia="zh-CN"/>
        </w:rPr>
        <w:drawing>
          <wp:inline distT="0" distB="0" distL="0" distR="0" wp14:anchorId="15FE4367" wp14:editId="566C96E4">
            <wp:extent cx="2667000" cy="2000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67000" cy="2000250"/>
                    </a:xfrm>
                    <a:prstGeom prst="rect">
                      <a:avLst/>
                    </a:prstGeom>
                    <a:noFill/>
                    <a:ln>
                      <a:noFill/>
                    </a:ln>
                  </pic:spPr>
                </pic:pic>
              </a:graphicData>
            </a:graphic>
          </wp:inline>
        </w:drawing>
      </w:r>
    </w:p>
    <w:p w:rsidR="00622456" w:rsidRDefault="00622456" w:rsidP="00622456">
      <w:pPr>
        <w:pStyle w:val="Caption"/>
        <w:rPr>
          <w:b w:val="0"/>
          <w:sz w:val="22"/>
          <w:lang w:val="en-US"/>
        </w:rPr>
      </w:pPr>
      <w:bookmarkStart w:id="8" w:name="_Ref419716472"/>
      <w:bookmarkStart w:id="9" w:name="_Ref419716463"/>
      <w:r w:rsidRPr="00D34A9C">
        <w:rPr>
          <w:sz w:val="22"/>
          <w:lang w:val="en-US"/>
        </w:rPr>
        <w:t xml:space="preserve">Figure </w:t>
      </w:r>
      <w:r w:rsidRPr="00D34A9C">
        <w:rPr>
          <w:sz w:val="22"/>
        </w:rPr>
        <w:fldChar w:fldCharType="begin"/>
      </w:r>
      <w:r w:rsidRPr="00D34A9C">
        <w:rPr>
          <w:sz w:val="22"/>
          <w:lang w:val="en-US"/>
        </w:rPr>
        <w:instrText xml:space="preserve"> SEQ Figure \* ARABIC </w:instrText>
      </w:r>
      <w:r w:rsidRPr="00D34A9C">
        <w:rPr>
          <w:sz w:val="22"/>
        </w:rPr>
        <w:fldChar w:fldCharType="separate"/>
      </w:r>
      <w:r>
        <w:rPr>
          <w:noProof/>
          <w:sz w:val="22"/>
          <w:lang w:val="en-US"/>
        </w:rPr>
        <w:t>6</w:t>
      </w:r>
      <w:r w:rsidRPr="00D34A9C">
        <w:rPr>
          <w:sz w:val="22"/>
        </w:rPr>
        <w:fldChar w:fldCharType="end"/>
      </w:r>
      <w:bookmarkEnd w:id="8"/>
      <w:r w:rsidRPr="00D34A9C">
        <w:rPr>
          <w:sz w:val="22"/>
          <w:lang w:val="en-US"/>
        </w:rPr>
        <w:t>:</w:t>
      </w:r>
      <w:r w:rsidRPr="00D34A9C">
        <w:rPr>
          <w:b w:val="0"/>
          <w:sz w:val="22"/>
          <w:lang w:val="en-US"/>
        </w:rPr>
        <w:t xml:space="preserve"> RSRP </w:t>
      </w:r>
      <w:r>
        <w:rPr>
          <w:b w:val="0"/>
          <w:sz w:val="22"/>
          <w:lang w:val="en-US"/>
        </w:rPr>
        <w:t>and RSRQ simulation results for ETU 30</w:t>
      </w:r>
      <w:r w:rsidRPr="00D34A9C">
        <w:rPr>
          <w:b w:val="0"/>
          <w:sz w:val="22"/>
          <w:lang w:val="en-US"/>
        </w:rPr>
        <w:t>Hz using (left) 1Rx and (right) 2Rx antennas. Coherent averaging over 96 CRSs, and non-coherent averaging over 10 coherent average values. Note: requirements ap</w:t>
      </w:r>
      <w:r>
        <w:rPr>
          <w:b w:val="0"/>
          <w:sz w:val="22"/>
          <w:lang w:val="en-US"/>
        </w:rPr>
        <w:t xml:space="preserve">ply for AWGN and are shown </w:t>
      </w:r>
      <w:r w:rsidRPr="00D34A9C">
        <w:rPr>
          <w:b w:val="0"/>
          <w:sz w:val="22"/>
          <w:lang w:val="en-US"/>
        </w:rPr>
        <w:t>for reference</w:t>
      </w:r>
      <w:r>
        <w:rPr>
          <w:b w:val="0"/>
          <w:sz w:val="22"/>
          <w:lang w:val="en-US"/>
        </w:rPr>
        <w:t xml:space="preserve"> only</w:t>
      </w:r>
      <w:r w:rsidRPr="00D34A9C">
        <w:rPr>
          <w:b w:val="0"/>
          <w:sz w:val="22"/>
          <w:lang w:val="en-US"/>
        </w:rPr>
        <w:t>.</w:t>
      </w:r>
      <w:bookmarkEnd w:id="9"/>
    </w:p>
    <w:p w:rsidR="0042211A" w:rsidRPr="0036733D" w:rsidRDefault="0042211A" w:rsidP="00622456">
      <w:pPr>
        <w:rPr>
          <w:lang w:val="en-US" w:eastAsia="ja-JP"/>
        </w:rPr>
      </w:pPr>
    </w:p>
    <w:p w:rsidR="00622456" w:rsidRPr="004666D8" w:rsidRDefault="00622456" w:rsidP="00622456">
      <w:pPr>
        <w:jc w:val="both"/>
        <w:rPr>
          <w:sz w:val="22"/>
          <w:lang w:val="en-US" w:eastAsia="ja-JP"/>
        </w:rPr>
      </w:pPr>
      <w:r w:rsidRPr="004666D8">
        <w:rPr>
          <w:sz w:val="22"/>
          <w:lang w:val="en-US" w:eastAsia="ja-JP"/>
        </w:rPr>
        <w:t xml:space="preserve">The resulting RSRP </w:t>
      </w:r>
      <w:r>
        <w:rPr>
          <w:sz w:val="22"/>
          <w:lang w:val="en-US" w:eastAsia="ja-JP"/>
        </w:rPr>
        <w:t>and RSRQ absolute accuracies are</w:t>
      </w:r>
      <w:r w:rsidRPr="004666D8">
        <w:rPr>
          <w:sz w:val="22"/>
          <w:lang w:val="en-US" w:eastAsia="ja-JP"/>
        </w:rPr>
        <w:t xml:space="preserve"> shown in </w:t>
      </w:r>
      <w:r w:rsidRPr="004666D8">
        <w:rPr>
          <w:sz w:val="22"/>
          <w:lang w:val="en-US" w:eastAsia="ja-JP"/>
        </w:rPr>
        <w:fldChar w:fldCharType="begin"/>
      </w:r>
      <w:r w:rsidRPr="004666D8">
        <w:rPr>
          <w:sz w:val="22"/>
          <w:lang w:val="en-US" w:eastAsia="ja-JP"/>
        </w:rPr>
        <w:instrText xml:space="preserve"> REF _Ref416339132 \h  \* MERGEFORMAT </w:instrText>
      </w:r>
      <w:r w:rsidRPr="004666D8">
        <w:rPr>
          <w:sz w:val="22"/>
          <w:lang w:val="en-US" w:eastAsia="ja-JP"/>
        </w:rPr>
      </w:r>
      <w:r w:rsidRPr="004666D8">
        <w:rPr>
          <w:sz w:val="22"/>
          <w:lang w:val="en-US" w:eastAsia="ja-JP"/>
        </w:rPr>
        <w:fldChar w:fldCharType="separate"/>
      </w:r>
      <w:r w:rsidRPr="00D34A9C">
        <w:rPr>
          <w:sz w:val="22"/>
          <w:lang w:val="en-US"/>
        </w:rPr>
        <w:t xml:space="preserve">Figure </w:t>
      </w:r>
      <w:r>
        <w:rPr>
          <w:noProof/>
          <w:sz w:val="22"/>
          <w:lang w:val="en-US"/>
        </w:rPr>
        <w:t>2</w:t>
      </w:r>
      <w:r w:rsidRPr="004666D8">
        <w:rPr>
          <w:sz w:val="22"/>
          <w:lang w:val="en-US" w:eastAsia="ja-JP"/>
        </w:rPr>
        <w:fldChar w:fldCharType="end"/>
      </w:r>
      <w:r w:rsidRPr="004666D8">
        <w:rPr>
          <w:sz w:val="22"/>
          <w:lang w:val="en-US" w:eastAsia="ja-JP"/>
        </w:rPr>
        <w:t xml:space="preserve"> through</w:t>
      </w:r>
      <w:r>
        <w:rPr>
          <w:sz w:val="22"/>
          <w:lang w:val="en-US" w:eastAsia="ja-JP"/>
        </w:rPr>
        <w:t xml:space="preserve"> </w:t>
      </w:r>
      <w:r>
        <w:rPr>
          <w:sz w:val="22"/>
          <w:lang w:val="en-US" w:eastAsia="ja-JP"/>
        </w:rPr>
        <w:fldChar w:fldCharType="begin"/>
      </w:r>
      <w:r>
        <w:rPr>
          <w:sz w:val="22"/>
          <w:lang w:val="en-US" w:eastAsia="ja-JP"/>
        </w:rPr>
        <w:instrText xml:space="preserve"> REF _Ref419716472 \h </w:instrText>
      </w:r>
      <w:r>
        <w:rPr>
          <w:sz w:val="22"/>
          <w:lang w:val="en-US" w:eastAsia="ja-JP"/>
        </w:rPr>
      </w:r>
      <w:r>
        <w:rPr>
          <w:sz w:val="22"/>
          <w:lang w:val="en-US" w:eastAsia="ja-JP"/>
        </w:rPr>
        <w:fldChar w:fldCharType="separate"/>
      </w:r>
      <w:r w:rsidRPr="00D34A9C">
        <w:rPr>
          <w:sz w:val="22"/>
          <w:lang w:val="en-US"/>
        </w:rPr>
        <w:t xml:space="preserve">Figure </w:t>
      </w:r>
      <w:r>
        <w:rPr>
          <w:noProof/>
          <w:sz w:val="22"/>
          <w:lang w:val="en-US"/>
        </w:rPr>
        <w:t>6</w:t>
      </w:r>
      <w:r>
        <w:rPr>
          <w:sz w:val="22"/>
          <w:lang w:val="en-US" w:eastAsia="ja-JP"/>
        </w:rPr>
        <w:fldChar w:fldCharType="end"/>
      </w:r>
      <w:r>
        <w:rPr>
          <w:sz w:val="22"/>
          <w:lang w:val="en-US" w:eastAsia="ja-JP"/>
        </w:rPr>
        <w:t xml:space="preserve"> for AWGN, EPA 1Hz, ETU</w:t>
      </w:r>
      <w:r w:rsidRPr="004666D8">
        <w:rPr>
          <w:sz w:val="22"/>
          <w:lang w:val="en-US" w:eastAsia="ja-JP"/>
        </w:rPr>
        <w:t xml:space="preserve"> 1Hz and </w:t>
      </w:r>
      <w:r>
        <w:rPr>
          <w:sz w:val="22"/>
          <w:lang w:val="en-US" w:eastAsia="ja-JP"/>
        </w:rPr>
        <w:t>EPA 5Hz and ETU 30</w:t>
      </w:r>
      <w:r w:rsidRPr="004666D8">
        <w:rPr>
          <w:sz w:val="22"/>
          <w:lang w:val="en-US" w:eastAsia="ja-JP"/>
        </w:rPr>
        <w:t xml:space="preserve">Hz, respectively. </w:t>
      </w:r>
    </w:p>
    <w:p w:rsidR="00C36D69" w:rsidRDefault="00622456" w:rsidP="00622456">
      <w:pPr>
        <w:jc w:val="both"/>
        <w:rPr>
          <w:sz w:val="22"/>
          <w:lang w:val="en-US" w:eastAsia="ja-JP"/>
        </w:rPr>
      </w:pPr>
      <w:r w:rsidRPr="004666D8">
        <w:rPr>
          <w:sz w:val="22"/>
          <w:lang w:val="en-US" w:eastAsia="ja-JP"/>
        </w:rPr>
        <w:fldChar w:fldCharType="begin"/>
      </w:r>
      <w:r w:rsidRPr="004666D8">
        <w:rPr>
          <w:sz w:val="22"/>
          <w:lang w:val="en-US" w:eastAsia="ja-JP"/>
        </w:rPr>
        <w:instrText xml:space="preserve"> REF _Ref416339132 \h  \* MERGEFORMAT </w:instrText>
      </w:r>
      <w:r w:rsidRPr="004666D8">
        <w:rPr>
          <w:sz w:val="22"/>
          <w:lang w:val="en-US" w:eastAsia="ja-JP"/>
        </w:rPr>
      </w:r>
      <w:r w:rsidRPr="004666D8">
        <w:rPr>
          <w:sz w:val="22"/>
          <w:lang w:val="en-US" w:eastAsia="ja-JP"/>
        </w:rPr>
        <w:fldChar w:fldCharType="separate"/>
      </w:r>
      <w:r w:rsidRPr="00D34A9C">
        <w:rPr>
          <w:sz w:val="22"/>
          <w:lang w:val="en-US"/>
        </w:rPr>
        <w:t xml:space="preserve">Figure </w:t>
      </w:r>
      <w:r>
        <w:rPr>
          <w:noProof/>
          <w:sz w:val="22"/>
          <w:lang w:val="en-US"/>
        </w:rPr>
        <w:t>2</w:t>
      </w:r>
      <w:r w:rsidRPr="004666D8">
        <w:rPr>
          <w:sz w:val="22"/>
          <w:lang w:val="en-US" w:eastAsia="ja-JP"/>
        </w:rPr>
        <w:fldChar w:fldCharType="end"/>
      </w:r>
      <w:r w:rsidRPr="004666D8">
        <w:rPr>
          <w:sz w:val="22"/>
          <w:lang w:val="en-US" w:eastAsia="ja-JP"/>
        </w:rPr>
        <w:t xml:space="preserve"> through</w:t>
      </w:r>
      <w:r>
        <w:rPr>
          <w:sz w:val="22"/>
          <w:lang w:val="en-US" w:eastAsia="ja-JP"/>
        </w:rPr>
        <w:t xml:space="preserve"> </w:t>
      </w:r>
      <w:r>
        <w:rPr>
          <w:sz w:val="22"/>
          <w:lang w:val="en-US" w:eastAsia="ja-JP"/>
        </w:rPr>
        <w:fldChar w:fldCharType="begin"/>
      </w:r>
      <w:r>
        <w:rPr>
          <w:sz w:val="22"/>
          <w:lang w:val="en-US" w:eastAsia="ja-JP"/>
        </w:rPr>
        <w:instrText xml:space="preserve"> REF _Ref419716472 \h </w:instrText>
      </w:r>
      <w:r>
        <w:rPr>
          <w:sz w:val="22"/>
          <w:lang w:val="en-US" w:eastAsia="ja-JP"/>
        </w:rPr>
      </w:r>
      <w:r>
        <w:rPr>
          <w:sz w:val="22"/>
          <w:lang w:val="en-US" w:eastAsia="ja-JP"/>
        </w:rPr>
        <w:fldChar w:fldCharType="separate"/>
      </w:r>
      <w:r w:rsidRPr="00D34A9C">
        <w:rPr>
          <w:sz w:val="22"/>
          <w:lang w:val="en-US"/>
        </w:rPr>
        <w:t xml:space="preserve">Figure </w:t>
      </w:r>
      <w:r>
        <w:rPr>
          <w:noProof/>
          <w:sz w:val="22"/>
          <w:lang w:val="en-US"/>
        </w:rPr>
        <w:t>6</w:t>
      </w:r>
      <w:r>
        <w:rPr>
          <w:sz w:val="22"/>
          <w:lang w:val="en-US" w:eastAsia="ja-JP"/>
        </w:rPr>
        <w:fldChar w:fldCharType="end"/>
      </w:r>
      <w:r w:rsidRPr="004666D8">
        <w:rPr>
          <w:sz w:val="22"/>
          <w:lang w:val="en-US" w:eastAsia="ja-JP"/>
        </w:rPr>
        <w:t xml:space="preserve"> express the measured RSRP level relative to the noise level versus the actual RSRP level relative to the noise level. The actual relative power can be interpreted as SNR. The deviation of the mean from the ideal curve indicates the bias, and the distance between the 5</w:t>
      </w:r>
      <w:r w:rsidRPr="004666D8">
        <w:rPr>
          <w:sz w:val="22"/>
          <w:vertAlign w:val="superscript"/>
          <w:lang w:val="en-US" w:eastAsia="ja-JP"/>
        </w:rPr>
        <w:t>th</w:t>
      </w:r>
      <w:r w:rsidRPr="004666D8">
        <w:rPr>
          <w:sz w:val="22"/>
          <w:lang w:val="en-US" w:eastAsia="ja-JP"/>
        </w:rPr>
        <w:t xml:space="preserve"> and the 95</w:t>
      </w:r>
      <w:r w:rsidRPr="004666D8">
        <w:rPr>
          <w:sz w:val="22"/>
          <w:vertAlign w:val="superscript"/>
          <w:lang w:val="en-US" w:eastAsia="ja-JP"/>
        </w:rPr>
        <w:t>th</w:t>
      </w:r>
      <w:r w:rsidRPr="004666D8">
        <w:rPr>
          <w:sz w:val="22"/>
          <w:lang w:val="en-US" w:eastAsia="ja-JP"/>
        </w:rPr>
        <w:t xml:space="preserve"> percentile indicates the variance. </w:t>
      </w:r>
    </w:p>
    <w:p w:rsidR="00622456" w:rsidRDefault="00622456" w:rsidP="00622456">
      <w:pPr>
        <w:jc w:val="both"/>
        <w:rPr>
          <w:b/>
          <w:sz w:val="22"/>
          <w:lang w:val="en-US" w:eastAsia="ja-JP"/>
        </w:rPr>
      </w:pPr>
      <w:r>
        <w:rPr>
          <w:sz w:val="22"/>
          <w:lang w:val="en-US" w:eastAsia="ja-JP"/>
        </w:rPr>
        <w:t xml:space="preserve">The simulation results indicate that for RSRP, potentially a tighter requirement can be applied as particularly the variance reduces when 2 RX branches are used. </w:t>
      </w:r>
      <w:r w:rsidR="00C36D69">
        <w:rPr>
          <w:sz w:val="22"/>
          <w:lang w:val="en-US" w:eastAsia="ja-JP"/>
        </w:rPr>
        <w:t xml:space="preserve">This effect is mostly seen at the higher end of the CE SINR range and normal coverage. At the lowest SINR levels a slight decrease in sensitivity can be noticed, i.e., the mean value deviates more from the ideal curve for 2 RX than 1 RX branch. The explanation is that at low SINR it is the noise that is dominating, i.e. it is a noise limited scenario, and the measurement rules in RAN1 specification TS 36.214 stipulate that when conducting measurements over two RX branches, one shall in practice select the result from the stronger of the two branches. At high SINR this guarantees that one selects the RSRP or RSRQ value from the propagation path that has least impact of fading at that moment, whereas at low SINR the same rule in practice favors the most biased estimate of RSRP. Hence the degradation of sensitivity. </w:t>
      </w:r>
    </w:p>
    <w:p w:rsidR="006D35DA" w:rsidRPr="00E543BB" w:rsidRDefault="00622456" w:rsidP="00E543BB">
      <w:pPr>
        <w:jc w:val="both"/>
        <w:rPr>
          <w:sz w:val="22"/>
          <w:lang w:val="en-US" w:eastAsia="ja-JP"/>
        </w:rPr>
      </w:pPr>
      <w:r>
        <w:rPr>
          <w:sz w:val="22"/>
          <w:lang w:val="en-US" w:eastAsia="ja-JP"/>
        </w:rPr>
        <w:t xml:space="preserve">Furthermore </w:t>
      </w:r>
      <w:r w:rsidRPr="004666D8">
        <w:rPr>
          <w:sz w:val="22"/>
          <w:lang w:val="en-US" w:eastAsia="ja-JP"/>
        </w:rPr>
        <w:fldChar w:fldCharType="begin"/>
      </w:r>
      <w:r w:rsidRPr="004666D8">
        <w:rPr>
          <w:sz w:val="22"/>
          <w:lang w:val="en-US" w:eastAsia="ja-JP"/>
        </w:rPr>
        <w:instrText xml:space="preserve"> REF _Ref416339132 \h  \* MERGEFORMAT </w:instrText>
      </w:r>
      <w:r w:rsidRPr="004666D8">
        <w:rPr>
          <w:sz w:val="22"/>
          <w:lang w:val="en-US" w:eastAsia="ja-JP"/>
        </w:rPr>
      </w:r>
      <w:r w:rsidRPr="004666D8">
        <w:rPr>
          <w:sz w:val="22"/>
          <w:lang w:val="en-US" w:eastAsia="ja-JP"/>
        </w:rPr>
        <w:fldChar w:fldCharType="separate"/>
      </w:r>
      <w:r w:rsidRPr="00D34A9C">
        <w:rPr>
          <w:sz w:val="22"/>
          <w:lang w:val="en-US"/>
        </w:rPr>
        <w:t xml:space="preserve">Figure </w:t>
      </w:r>
      <w:r>
        <w:rPr>
          <w:noProof/>
          <w:sz w:val="22"/>
          <w:lang w:val="en-US"/>
        </w:rPr>
        <w:t>2</w:t>
      </w:r>
      <w:r w:rsidRPr="004666D8">
        <w:rPr>
          <w:sz w:val="22"/>
          <w:lang w:val="en-US" w:eastAsia="ja-JP"/>
        </w:rPr>
        <w:fldChar w:fldCharType="end"/>
      </w:r>
      <w:r w:rsidRPr="004666D8">
        <w:rPr>
          <w:sz w:val="22"/>
          <w:lang w:val="en-US" w:eastAsia="ja-JP"/>
        </w:rPr>
        <w:t xml:space="preserve"> through</w:t>
      </w:r>
      <w:r>
        <w:rPr>
          <w:sz w:val="22"/>
          <w:lang w:val="en-US" w:eastAsia="ja-JP"/>
        </w:rPr>
        <w:t xml:space="preserve"> </w:t>
      </w:r>
      <w:r>
        <w:rPr>
          <w:sz w:val="22"/>
          <w:lang w:val="en-US" w:eastAsia="ja-JP"/>
        </w:rPr>
        <w:fldChar w:fldCharType="begin"/>
      </w:r>
      <w:r>
        <w:rPr>
          <w:sz w:val="22"/>
          <w:lang w:val="en-US" w:eastAsia="ja-JP"/>
        </w:rPr>
        <w:instrText xml:space="preserve"> REF _Ref419716472 \h </w:instrText>
      </w:r>
      <w:r>
        <w:rPr>
          <w:sz w:val="22"/>
          <w:lang w:val="en-US" w:eastAsia="ja-JP"/>
        </w:rPr>
      </w:r>
      <w:r>
        <w:rPr>
          <w:sz w:val="22"/>
          <w:lang w:val="en-US" w:eastAsia="ja-JP"/>
        </w:rPr>
        <w:fldChar w:fldCharType="separate"/>
      </w:r>
      <w:r w:rsidRPr="00D34A9C">
        <w:rPr>
          <w:sz w:val="22"/>
          <w:lang w:val="en-US"/>
        </w:rPr>
        <w:t xml:space="preserve">Figure </w:t>
      </w:r>
      <w:r>
        <w:rPr>
          <w:noProof/>
          <w:sz w:val="22"/>
          <w:lang w:val="en-US"/>
        </w:rPr>
        <w:t>6</w:t>
      </w:r>
      <w:r>
        <w:rPr>
          <w:sz w:val="22"/>
          <w:lang w:val="en-US" w:eastAsia="ja-JP"/>
        </w:rPr>
        <w:fldChar w:fldCharType="end"/>
      </w:r>
      <w:r w:rsidRPr="004666D8">
        <w:rPr>
          <w:sz w:val="22"/>
          <w:lang w:val="en-US" w:eastAsia="ja-JP"/>
        </w:rPr>
        <w:t xml:space="preserve"> </w:t>
      </w:r>
      <w:r w:rsidR="0042211A">
        <w:rPr>
          <w:sz w:val="22"/>
          <w:lang w:val="en-US" w:eastAsia="ja-JP"/>
        </w:rPr>
        <w:t>show</w:t>
      </w:r>
      <w:r>
        <w:rPr>
          <w:sz w:val="22"/>
          <w:lang w:val="en-US" w:eastAsia="ja-JP"/>
        </w:rPr>
        <w:t xml:space="preserve"> </w:t>
      </w:r>
      <w:r w:rsidRPr="004666D8">
        <w:rPr>
          <w:sz w:val="22"/>
          <w:lang w:val="en-US" w:eastAsia="ja-JP"/>
        </w:rPr>
        <w:t xml:space="preserve">the measured RSRQ level versus the SINR level. Here too </w:t>
      </w:r>
      <w:r w:rsidR="00E543BB">
        <w:rPr>
          <w:sz w:val="22"/>
          <w:lang w:val="en-US" w:eastAsia="ja-JP"/>
        </w:rPr>
        <w:t>one can see an improvement at the higher end of the CE range and for normal coverage, whereas one sees a degradation at low SINR. The explanation is the same as given for RSRP above</w:t>
      </w:r>
    </w:p>
    <w:p w:rsidR="00632BA4" w:rsidRDefault="00632BA4" w:rsidP="00632BA4">
      <w:pPr>
        <w:pStyle w:val="Heading1"/>
        <w:rPr>
          <w:lang w:val="en-CA"/>
        </w:rPr>
      </w:pPr>
      <w:r w:rsidRPr="00457F73">
        <w:rPr>
          <w:lang w:val="en-CA"/>
        </w:rPr>
        <w:lastRenderedPageBreak/>
        <w:t>Summary</w:t>
      </w:r>
      <w:r w:rsidR="000E40D4" w:rsidRPr="00457F73">
        <w:rPr>
          <w:lang w:val="en-CA"/>
        </w:rPr>
        <w:t xml:space="preserve"> and Conclusions</w:t>
      </w:r>
    </w:p>
    <w:p w:rsidR="0042211A" w:rsidRPr="0042211A" w:rsidRDefault="0042211A" w:rsidP="0042211A">
      <w:pPr>
        <w:rPr>
          <w:sz w:val="22"/>
          <w:lang w:val="en-CA"/>
        </w:rPr>
      </w:pPr>
      <w:r w:rsidRPr="0042211A">
        <w:rPr>
          <w:sz w:val="22"/>
          <w:lang w:val="en-CA"/>
        </w:rPr>
        <w:t>The simul</w:t>
      </w:r>
      <w:r>
        <w:rPr>
          <w:sz w:val="22"/>
          <w:lang w:val="en-CA"/>
        </w:rPr>
        <w:t xml:space="preserve">ation results indicate that using 2 RX antennas </w:t>
      </w:r>
      <w:r w:rsidR="00E543BB">
        <w:rPr>
          <w:sz w:val="22"/>
          <w:lang w:val="en-CA"/>
        </w:rPr>
        <w:t>the measurement accuracy can be significantly improved provided that the SINR is high enough. Particularly, at the higher end of the CE range and in normal coverage, 2 RX antennas cater for that the UE bases RSRP and RSRQ on the propagation path that momentarily is least impacted by fading. At the lower end of the SINR range the opposite is seen as the most biased RSRP estimate is favoured by the measurement rules, leading to reduced sensitivity.</w:t>
      </w:r>
      <w:r>
        <w:rPr>
          <w:sz w:val="22"/>
          <w:lang w:val="en-CA"/>
        </w:rPr>
        <w:t xml:space="preserve"> </w:t>
      </w:r>
    </w:p>
    <w:p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rsidR="00622456" w:rsidRPr="0042211A" w:rsidRDefault="00E65C14" w:rsidP="0042211A">
      <w:pPr>
        <w:numPr>
          <w:ilvl w:val="0"/>
          <w:numId w:val="9"/>
        </w:numPr>
        <w:tabs>
          <w:tab w:val="left" w:pos="851"/>
        </w:tabs>
        <w:rPr>
          <w:rFonts w:ascii="Arial" w:hAnsi="Arial" w:cs="Arial"/>
          <w:sz w:val="22"/>
          <w:szCs w:val="22"/>
          <w:lang w:val="en-CA"/>
        </w:rPr>
      </w:pPr>
      <w:bookmarkStart w:id="10" w:name="_Ref478151172"/>
      <w:r>
        <w:rPr>
          <w:rFonts w:ascii="Arial" w:hAnsi="Arial" w:cs="Arial"/>
          <w:sz w:val="22"/>
          <w:szCs w:val="22"/>
          <w:lang w:val="en-CA"/>
        </w:rPr>
        <w:t>R4-1702326 “</w:t>
      </w:r>
      <w:r w:rsidRPr="00E65C14">
        <w:rPr>
          <w:rFonts w:ascii="Arial" w:hAnsi="Arial" w:cs="Arial"/>
          <w:sz w:val="22"/>
          <w:szCs w:val="22"/>
          <w:lang w:val="en-CA"/>
        </w:rPr>
        <w:t>WF on RRM Requirements for UE Capable of Coverage Enhancement</w:t>
      </w:r>
      <w:r>
        <w:rPr>
          <w:rFonts w:ascii="Arial" w:hAnsi="Arial" w:cs="Arial"/>
          <w:sz w:val="22"/>
          <w:szCs w:val="22"/>
          <w:lang w:val="en-CA"/>
        </w:rPr>
        <w:t xml:space="preserve">”, </w:t>
      </w:r>
      <w:r w:rsidRPr="00E65C14">
        <w:rPr>
          <w:rFonts w:ascii="Arial" w:hAnsi="Arial" w:cs="Arial"/>
          <w:sz w:val="22"/>
          <w:szCs w:val="22"/>
          <w:lang w:val="en-CA"/>
        </w:rPr>
        <w:t>Ericsson, Qualcomm, Nokia, Alcatel-Lucent Shanghai Bell, Huawei, HiSilicon, Intel</w:t>
      </w:r>
      <w:bookmarkEnd w:id="10"/>
    </w:p>
    <w:p w:rsidR="0083470E" w:rsidRPr="00457F73" w:rsidRDefault="00CC7994" w:rsidP="00742894">
      <w:pPr>
        <w:numPr>
          <w:ilvl w:val="0"/>
          <w:numId w:val="9"/>
        </w:numPr>
        <w:tabs>
          <w:tab w:val="left" w:pos="851"/>
        </w:tabs>
        <w:rPr>
          <w:rFonts w:ascii="Arial" w:hAnsi="Arial" w:cs="Arial"/>
          <w:sz w:val="22"/>
          <w:szCs w:val="22"/>
          <w:lang w:val="en-CA"/>
        </w:rPr>
      </w:pPr>
      <w:r w:rsidRPr="00457F73">
        <w:rPr>
          <w:rFonts w:ascii="Arial" w:hAnsi="Arial" w:cs="Arial"/>
          <w:sz w:val="22"/>
          <w:szCs w:val="22"/>
          <w:lang w:val="en-CA"/>
        </w:rPr>
        <w:t>36.133</w:t>
      </w:r>
    </w:p>
    <w:sectPr w:rsidR="0083470E" w:rsidRPr="00457F73" w:rsidSect="00D04AFA">
      <w:footerReference w:type="even" r:id="rId30"/>
      <w:footerReference w:type="default" r:id="rId31"/>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7A7A" w:rsidRDefault="00CE7A7A">
      <w:r>
        <w:separator/>
      </w:r>
    </w:p>
  </w:endnote>
  <w:endnote w:type="continuationSeparator" w:id="0">
    <w:p w:rsidR="00CE7A7A" w:rsidRDefault="00CE7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C4B5E">
      <w:rPr>
        <w:rStyle w:val="PageNumber"/>
        <w:noProof/>
      </w:rPr>
      <w:t>7</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7A7A" w:rsidRDefault="00CE7A7A">
      <w:r>
        <w:separator/>
      </w:r>
    </w:p>
  </w:footnote>
  <w:footnote w:type="continuationSeparator" w:id="0">
    <w:p w:rsidR="00CE7A7A" w:rsidRDefault="00CE7A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80FB2"/>
    <w:multiLevelType w:val="hybridMultilevel"/>
    <w:tmpl w:val="C4B0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136ED"/>
    <w:multiLevelType w:val="hybridMultilevel"/>
    <w:tmpl w:val="C0E6B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191D01"/>
    <w:multiLevelType w:val="hybridMultilevel"/>
    <w:tmpl w:val="C936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85EB0"/>
    <w:multiLevelType w:val="hybridMultilevel"/>
    <w:tmpl w:val="7E088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12" w15:restartNumberingAfterBreak="0">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AC76CA"/>
    <w:multiLevelType w:val="hybridMultilevel"/>
    <w:tmpl w:val="C4683D88"/>
    <w:lvl w:ilvl="0" w:tplc="D688DEB2">
      <w:start w:val="1"/>
      <w:numFmt w:val="bullet"/>
      <w:lvlText w:val="•"/>
      <w:lvlJc w:val="left"/>
      <w:pPr>
        <w:tabs>
          <w:tab w:val="num" w:pos="555"/>
        </w:tabs>
        <w:ind w:left="555" w:hanging="360"/>
      </w:pPr>
      <w:rPr>
        <w:rFonts w:ascii="Arial" w:hAnsi="Arial" w:hint="default"/>
      </w:rPr>
    </w:lvl>
    <w:lvl w:ilvl="1" w:tplc="DAEAEF0A">
      <w:start w:val="752"/>
      <w:numFmt w:val="bullet"/>
      <w:lvlText w:val="–"/>
      <w:lvlJc w:val="left"/>
      <w:pPr>
        <w:tabs>
          <w:tab w:val="num" w:pos="1275"/>
        </w:tabs>
        <w:ind w:left="1275" w:hanging="360"/>
      </w:pPr>
      <w:rPr>
        <w:rFonts w:ascii="Arial" w:hAnsi="Arial"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15" w15:restartNumberingAfterBreak="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15:restartNumberingAfterBreak="0">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F52426"/>
    <w:multiLevelType w:val="hybridMultilevel"/>
    <w:tmpl w:val="0234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24" w15:restartNumberingAfterBreak="0">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5" w15:restartNumberingAfterBreak="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9" w15:restartNumberingAfterBreak="0">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0" w15:restartNumberingAfterBreak="0">
    <w:nsid w:val="71E36BEE"/>
    <w:multiLevelType w:val="hybridMultilevel"/>
    <w:tmpl w:val="9260E8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2" w15:restartNumberingAfterBreak="0">
    <w:nsid w:val="7AB30041"/>
    <w:multiLevelType w:val="hybridMultilevel"/>
    <w:tmpl w:val="E056C094"/>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3"/>
  </w:num>
  <w:num w:numId="3">
    <w:abstractNumId w:val="41"/>
  </w:num>
  <w:num w:numId="4">
    <w:abstractNumId w:val="18"/>
  </w:num>
  <w:num w:numId="5">
    <w:abstractNumId w:val="26"/>
  </w:num>
  <w:num w:numId="6">
    <w:abstractNumId w:val="1"/>
  </w:num>
  <w:num w:numId="7">
    <w:abstractNumId w:val="0"/>
  </w:num>
  <w:num w:numId="8">
    <w:abstractNumId w:val="44"/>
  </w:num>
  <w:num w:numId="9">
    <w:abstractNumId w:val="33"/>
  </w:num>
  <w:num w:numId="10">
    <w:abstractNumId w:val="17"/>
  </w:num>
  <w:num w:numId="11">
    <w:abstractNumId w:val="15"/>
  </w:num>
  <w:num w:numId="12">
    <w:abstractNumId w:val="25"/>
  </w:num>
  <w:num w:numId="13">
    <w:abstractNumId w:val="4"/>
  </w:num>
  <w:num w:numId="14">
    <w:abstractNumId w:val="28"/>
  </w:num>
  <w:num w:numId="15">
    <w:abstractNumId w:val="9"/>
  </w:num>
  <w:num w:numId="16">
    <w:abstractNumId w:val="16"/>
  </w:num>
  <w:num w:numId="17">
    <w:abstractNumId w:val="29"/>
  </w:num>
  <w:num w:numId="18">
    <w:abstractNumId w:val="21"/>
  </w:num>
  <w:num w:numId="19">
    <w:abstractNumId w:val="36"/>
  </w:num>
  <w:num w:numId="20">
    <w:abstractNumId w:val="8"/>
  </w:num>
  <w:num w:numId="21">
    <w:abstractNumId w:val="35"/>
  </w:num>
  <w:num w:numId="22">
    <w:abstractNumId w:val="38"/>
  </w:num>
  <w:num w:numId="23">
    <w:abstractNumId w:val="27"/>
  </w:num>
  <w:num w:numId="24">
    <w:abstractNumId w:val="10"/>
  </w:num>
  <w:num w:numId="25">
    <w:abstractNumId w:val="37"/>
  </w:num>
  <w:num w:numId="26">
    <w:abstractNumId w:val="12"/>
  </w:num>
  <w:num w:numId="27">
    <w:abstractNumId w:val="41"/>
  </w:num>
  <w:num w:numId="28">
    <w:abstractNumId w:val="31"/>
  </w:num>
  <w:num w:numId="29">
    <w:abstractNumId w:val="19"/>
  </w:num>
  <w:num w:numId="30">
    <w:abstractNumId w:val="11"/>
  </w:num>
  <w:num w:numId="31">
    <w:abstractNumId w:val="41"/>
  </w:num>
  <w:num w:numId="32">
    <w:abstractNumId w:val="5"/>
  </w:num>
  <w:num w:numId="33">
    <w:abstractNumId w:val="23"/>
  </w:num>
  <w:num w:numId="34">
    <w:abstractNumId w:val="32"/>
  </w:num>
  <w:num w:numId="35">
    <w:abstractNumId w:val="24"/>
  </w:num>
  <w:num w:numId="36">
    <w:abstractNumId w:val="30"/>
  </w:num>
  <w:num w:numId="37">
    <w:abstractNumId w:val="13"/>
  </w:num>
  <w:num w:numId="38">
    <w:abstractNumId w:val="39"/>
  </w:num>
  <w:num w:numId="39">
    <w:abstractNumId w:val="20"/>
  </w:num>
  <w:num w:numId="40">
    <w:abstractNumId w:val="14"/>
  </w:num>
  <w:num w:numId="41">
    <w:abstractNumId w:val="3"/>
  </w:num>
  <w:num w:numId="42">
    <w:abstractNumId w:val="22"/>
  </w:num>
  <w:num w:numId="43">
    <w:abstractNumId w:val="6"/>
  </w:num>
  <w:num w:numId="44">
    <w:abstractNumId w:val="2"/>
  </w:num>
  <w:num w:numId="45">
    <w:abstractNumId w:val="7"/>
  </w:num>
  <w:num w:numId="46">
    <w:abstractNumId w:val="40"/>
  </w:num>
  <w:num w:numId="47">
    <w:abstractNumId w:val="4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2931"/>
    <w:rsid w:val="00012CF0"/>
    <w:rsid w:val="0001351C"/>
    <w:rsid w:val="00014C5F"/>
    <w:rsid w:val="0001579B"/>
    <w:rsid w:val="0001686B"/>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0D4"/>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1AC5"/>
    <w:rsid w:val="001B1BA7"/>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78E"/>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1368"/>
    <w:rsid w:val="002E18FC"/>
    <w:rsid w:val="002E1DD0"/>
    <w:rsid w:val="002E221E"/>
    <w:rsid w:val="002E2F57"/>
    <w:rsid w:val="002E2FB1"/>
    <w:rsid w:val="002E3305"/>
    <w:rsid w:val="002E399F"/>
    <w:rsid w:val="002E3A19"/>
    <w:rsid w:val="002E3CE3"/>
    <w:rsid w:val="002E419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47A8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E9"/>
    <w:rsid w:val="003C5321"/>
    <w:rsid w:val="003C5FED"/>
    <w:rsid w:val="003C662E"/>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11A"/>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418D"/>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7FB"/>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4B5E"/>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5D05"/>
    <w:rsid w:val="004F6124"/>
    <w:rsid w:val="004F70BE"/>
    <w:rsid w:val="004F76D3"/>
    <w:rsid w:val="0050027D"/>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3B1"/>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6628"/>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584"/>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438"/>
    <w:rsid w:val="005C2260"/>
    <w:rsid w:val="005C3AB3"/>
    <w:rsid w:val="005C404D"/>
    <w:rsid w:val="005C4634"/>
    <w:rsid w:val="005C4859"/>
    <w:rsid w:val="005C5AEB"/>
    <w:rsid w:val="005C64D7"/>
    <w:rsid w:val="005C783C"/>
    <w:rsid w:val="005C7ADE"/>
    <w:rsid w:val="005D0578"/>
    <w:rsid w:val="005D1C1E"/>
    <w:rsid w:val="005D2805"/>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215E"/>
    <w:rsid w:val="00622210"/>
    <w:rsid w:val="00622456"/>
    <w:rsid w:val="00622D02"/>
    <w:rsid w:val="00623626"/>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0F3F"/>
    <w:rsid w:val="00641CEF"/>
    <w:rsid w:val="0064268E"/>
    <w:rsid w:val="00642A65"/>
    <w:rsid w:val="00643300"/>
    <w:rsid w:val="0064425A"/>
    <w:rsid w:val="00644F4C"/>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10DC"/>
    <w:rsid w:val="006C15BB"/>
    <w:rsid w:val="006C1A4B"/>
    <w:rsid w:val="006C1F79"/>
    <w:rsid w:val="006C25D3"/>
    <w:rsid w:val="006C36D0"/>
    <w:rsid w:val="006C384C"/>
    <w:rsid w:val="006C4091"/>
    <w:rsid w:val="006C4211"/>
    <w:rsid w:val="006C4680"/>
    <w:rsid w:val="006C48C8"/>
    <w:rsid w:val="006C4FE4"/>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36F0"/>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645D"/>
    <w:rsid w:val="008374D2"/>
    <w:rsid w:val="00837BFB"/>
    <w:rsid w:val="00837E89"/>
    <w:rsid w:val="0084039B"/>
    <w:rsid w:val="008406A4"/>
    <w:rsid w:val="008409D0"/>
    <w:rsid w:val="00840CDF"/>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CC1"/>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1ED0"/>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6C6"/>
    <w:rsid w:val="009C570A"/>
    <w:rsid w:val="009C6612"/>
    <w:rsid w:val="009C6FD0"/>
    <w:rsid w:val="009C70C2"/>
    <w:rsid w:val="009C72C0"/>
    <w:rsid w:val="009C78FF"/>
    <w:rsid w:val="009D1EAC"/>
    <w:rsid w:val="009D2654"/>
    <w:rsid w:val="009D36FD"/>
    <w:rsid w:val="009D3A89"/>
    <w:rsid w:val="009D4634"/>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4F5"/>
    <w:rsid w:val="00A03F50"/>
    <w:rsid w:val="00A0513C"/>
    <w:rsid w:val="00A05EC8"/>
    <w:rsid w:val="00A06AFF"/>
    <w:rsid w:val="00A06E25"/>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1F2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4CA"/>
    <w:rsid w:val="00A566EF"/>
    <w:rsid w:val="00A569AB"/>
    <w:rsid w:val="00A56E7F"/>
    <w:rsid w:val="00A614F5"/>
    <w:rsid w:val="00A62154"/>
    <w:rsid w:val="00A64E3D"/>
    <w:rsid w:val="00A654CF"/>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8A9"/>
    <w:rsid w:val="00B02CF8"/>
    <w:rsid w:val="00B05528"/>
    <w:rsid w:val="00B05ACE"/>
    <w:rsid w:val="00B068A1"/>
    <w:rsid w:val="00B06A69"/>
    <w:rsid w:val="00B06D42"/>
    <w:rsid w:val="00B07091"/>
    <w:rsid w:val="00B07E49"/>
    <w:rsid w:val="00B106FD"/>
    <w:rsid w:val="00B10AB7"/>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EDC"/>
    <w:rsid w:val="00B35F55"/>
    <w:rsid w:val="00B362CF"/>
    <w:rsid w:val="00B3631B"/>
    <w:rsid w:val="00B378EF"/>
    <w:rsid w:val="00B37A2F"/>
    <w:rsid w:val="00B37EF5"/>
    <w:rsid w:val="00B40410"/>
    <w:rsid w:val="00B41E37"/>
    <w:rsid w:val="00B41F5F"/>
    <w:rsid w:val="00B42594"/>
    <w:rsid w:val="00B434EA"/>
    <w:rsid w:val="00B43705"/>
    <w:rsid w:val="00B447E9"/>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3EF3"/>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D69"/>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EEC"/>
    <w:rsid w:val="00C63DC4"/>
    <w:rsid w:val="00C64CCD"/>
    <w:rsid w:val="00C64EA5"/>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6DC"/>
    <w:rsid w:val="00CA2AE0"/>
    <w:rsid w:val="00CA398E"/>
    <w:rsid w:val="00CA42E3"/>
    <w:rsid w:val="00CA562B"/>
    <w:rsid w:val="00CA5CEF"/>
    <w:rsid w:val="00CA5EBE"/>
    <w:rsid w:val="00CA608C"/>
    <w:rsid w:val="00CA638D"/>
    <w:rsid w:val="00CA6972"/>
    <w:rsid w:val="00CA7765"/>
    <w:rsid w:val="00CA784C"/>
    <w:rsid w:val="00CB0690"/>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C7994"/>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2BCB"/>
    <w:rsid w:val="00CE333C"/>
    <w:rsid w:val="00CE3FFE"/>
    <w:rsid w:val="00CE4022"/>
    <w:rsid w:val="00CE4100"/>
    <w:rsid w:val="00CE4922"/>
    <w:rsid w:val="00CE5447"/>
    <w:rsid w:val="00CE602A"/>
    <w:rsid w:val="00CE6A26"/>
    <w:rsid w:val="00CE6A72"/>
    <w:rsid w:val="00CE722F"/>
    <w:rsid w:val="00CE7A7A"/>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34D3"/>
    <w:rsid w:val="00D2397E"/>
    <w:rsid w:val="00D23DAF"/>
    <w:rsid w:val="00D248C5"/>
    <w:rsid w:val="00D25360"/>
    <w:rsid w:val="00D256DC"/>
    <w:rsid w:val="00D25BCE"/>
    <w:rsid w:val="00D2686D"/>
    <w:rsid w:val="00D2761B"/>
    <w:rsid w:val="00D2780C"/>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1FC"/>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3E02"/>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AEE"/>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599F"/>
    <w:rsid w:val="00DD6768"/>
    <w:rsid w:val="00DD727F"/>
    <w:rsid w:val="00DD7715"/>
    <w:rsid w:val="00DD7BAD"/>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43BB"/>
    <w:rsid w:val="00E548C6"/>
    <w:rsid w:val="00E5618E"/>
    <w:rsid w:val="00E566F2"/>
    <w:rsid w:val="00E57384"/>
    <w:rsid w:val="00E57DE0"/>
    <w:rsid w:val="00E57E2A"/>
    <w:rsid w:val="00E601DD"/>
    <w:rsid w:val="00E603C7"/>
    <w:rsid w:val="00E60A3C"/>
    <w:rsid w:val="00E614F2"/>
    <w:rsid w:val="00E61817"/>
    <w:rsid w:val="00E61B54"/>
    <w:rsid w:val="00E62225"/>
    <w:rsid w:val="00E624CA"/>
    <w:rsid w:val="00E62B29"/>
    <w:rsid w:val="00E643D5"/>
    <w:rsid w:val="00E645B2"/>
    <w:rsid w:val="00E6500A"/>
    <w:rsid w:val="00E652CC"/>
    <w:rsid w:val="00E65C14"/>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9DD"/>
    <w:rsid w:val="00EF2DD9"/>
    <w:rsid w:val="00EF3337"/>
    <w:rsid w:val="00EF485F"/>
    <w:rsid w:val="00EF60D4"/>
    <w:rsid w:val="00EF65FD"/>
    <w:rsid w:val="00EF6BDA"/>
    <w:rsid w:val="00EF70B2"/>
    <w:rsid w:val="00EF7AD4"/>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24E"/>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4F2"/>
    <w:rsid w:val="00FB7F50"/>
    <w:rsid w:val="00FC009F"/>
    <w:rsid w:val="00FC0A7D"/>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0B90"/>
    <w:rsid w:val="00FE1386"/>
    <w:rsid w:val="00FE16C9"/>
    <w:rsid w:val="00FE1E32"/>
    <w:rsid w:val="00FE22D2"/>
    <w:rsid w:val="00FE2AF6"/>
    <w:rsid w:val="00FE312F"/>
    <w:rsid w:val="00FE3394"/>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CC3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3">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image" Target="media/image15.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2.emf"/><Relationship Id="rId19" Type="http://schemas.openxmlformats.org/officeDocument/2006/relationships/image" Target="media/image10.png"/><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0.emf"/><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5F728-3CDF-4431-81BF-C9755785C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1118</Words>
  <Characters>5928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2017-03-23T21:15:00Z</dcterms:created>
  <dcterms:modified xsi:type="dcterms:W3CDTF">2017-03-24T20:37:00Z</dcterms:modified>
</cp:coreProperties>
</file>